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50F9783">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沧海包装科技有限公司分布式光伏发电及市能源集团可移动式光伏发电试点项目采购并网柜项目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沧海包装科技有限公司分布式光伏发电及市能源集团可移动式光伏发电试点项目采购并网柜项目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3064"/>
        <w:gridCol w:w="968"/>
        <w:gridCol w:w="1132"/>
        <w:gridCol w:w="2209"/>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3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220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84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并网柜</w:t>
            </w:r>
          </w:p>
        </w:tc>
        <w:tc>
          <w:tcPr>
            <w:tcW w:w="3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含四象限装置（详见图纸）</w:t>
            </w:r>
          </w:p>
        </w:tc>
        <w:tc>
          <w:tcPr>
            <w:tcW w:w="96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22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沧海包装科技</w:t>
            </w:r>
          </w:p>
        </w:tc>
      </w:tr>
      <w:tr w14:paraId="1CF2C9C2">
        <w:tblPrEx>
          <w:shd w:val="clear" w:color="auto" w:fill="auto"/>
          <w:tblCellMar>
            <w:top w:w="0" w:type="dxa"/>
            <w:left w:w="0" w:type="dxa"/>
            <w:bottom w:w="0" w:type="dxa"/>
            <w:right w:w="0" w:type="dxa"/>
          </w:tblCellMar>
        </w:tblPrEx>
        <w:trPr>
          <w:trHeight w:val="825"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并网柜</w:t>
            </w:r>
          </w:p>
        </w:tc>
        <w:tc>
          <w:tcPr>
            <w:tcW w:w="30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含四象限装置（详见图纸）</w:t>
            </w:r>
          </w:p>
        </w:tc>
        <w:tc>
          <w:tcPr>
            <w:tcW w:w="96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22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可移动式光伏发电</w:t>
            </w:r>
          </w:p>
        </w:tc>
      </w:tr>
    </w:tbl>
    <w:p w14:paraId="0B724409">
      <w:pPr>
        <w:numPr>
          <w:ilvl w:val="0"/>
          <w:numId w:val="0"/>
        </w:numPr>
        <w:spacing w:line="360" w:lineRule="auto"/>
        <w:ind w:firstLine="482" w:firstLineChars="200"/>
        <w:jc w:val="left"/>
        <w:rPr>
          <w:rFonts w:hint="eastAsia" w:ascii="宋体" w:hAnsi="宋体" w:cs="宋体"/>
          <w:b/>
          <w:bCs/>
          <w:sz w:val="24"/>
          <w:lang w:eastAsia="zh-CN"/>
        </w:rPr>
      </w:pPr>
      <w:r>
        <w:rPr>
          <w:rFonts w:hint="eastAsia" w:ascii="宋体" w:hAnsi="宋体" w:cs="宋体"/>
          <w:b/>
          <w:bCs/>
          <w:sz w:val="24"/>
          <w:lang w:eastAsia="zh-CN"/>
        </w:rPr>
        <w:t>主要设备与元器件品牌推荐：常熟开关、上海人民（上联）、大全凯帆、伊顿辉能或同等以上品牌</w:t>
      </w:r>
    </w:p>
    <w:p w14:paraId="71FA1E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imes New Roman" w:hAnsi="Times New Roman" w:eastAsia="宋体" w:cs="Times New Roman"/>
          <w:b w:val="0"/>
          <w:bCs w:val="0"/>
          <w:i w:val="0"/>
          <w:iCs w:val="0"/>
          <w:color w:val="auto"/>
          <w:kern w:val="2"/>
          <w:sz w:val="24"/>
          <w:szCs w:val="24"/>
          <w:highlight w:val="none"/>
          <w:u w:val="none"/>
          <w:lang w:val="en-US" w:eastAsia="zh-CN" w:bidi="ar"/>
        </w:rPr>
        <w:t>备注：</w:t>
      </w:r>
      <w:r>
        <w:rPr>
          <w:rFonts w:hint="eastAsia" w:ascii="Times New Roman" w:hAnsi="Times New Roman" w:eastAsia="宋体" w:cs="Times New Roman"/>
          <w:b w:val="0"/>
          <w:bCs w:val="0"/>
          <w:i w:val="0"/>
          <w:iCs w:val="0"/>
          <w:color w:val="auto"/>
          <w:kern w:val="2"/>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 xml:space="preserve"> </w:t>
      </w:r>
      <w:r>
        <w:rPr>
          <w:rFonts w:hint="eastAsia"/>
          <w:sz w:val="24"/>
          <w:szCs w:val="24"/>
          <w:lang w:val="en-US" w:eastAsia="zh-CN"/>
        </w:rPr>
        <w:t>招标将实行主材准入制度。主要设备、材料必须在招标人提供的品牌或厂家范围内进行选择，或选择不低于招标人提供的品牌，否则招标人有权拒绝该材料在本项目中使用。</w:t>
      </w:r>
    </w:p>
    <w:p w14:paraId="2E7757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1AA69BD1">
      <w:pPr>
        <w:spacing w:line="360" w:lineRule="auto"/>
        <w:ind w:firstLine="480" w:firstLineChars="200"/>
        <w:rPr>
          <w:rFonts w:hint="eastAsia" w:ascii="宋体" w:hAnsi="宋体" w:cs="宋体"/>
          <w:b/>
          <w:bCs/>
          <w:sz w:val="24"/>
          <w:lang w:eastAsia="zh-CN"/>
        </w:rPr>
      </w:pPr>
      <w:r>
        <w:rPr>
          <w:rFonts w:hint="eastAsia"/>
          <w:sz w:val="24"/>
          <w:szCs w:val="24"/>
          <w:lang w:val="en-US" w:eastAsia="zh-CN"/>
        </w:rPr>
        <w:t>注意：招标人同意书原件复印件须装订在投标文件中。否则招标人有权拒绝该材料、设备在本项目中使用。</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11</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300000.00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1512AB2">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人：周先生                   电话：13337867666</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39178FF7">
      <w:pPr>
        <w:spacing w:line="360" w:lineRule="auto"/>
        <w:ind w:right="560"/>
        <w:jc w:val="both"/>
        <w:rPr>
          <w:rFonts w:hint="eastAsia" w:ascii="宋体" w:hAnsi="宋体" w:cs="宋体"/>
          <w:b/>
          <w:bCs/>
          <w:sz w:val="36"/>
          <w:szCs w:val="36"/>
          <w:lang w:eastAsia="zh-CN"/>
        </w:rPr>
      </w:pPr>
    </w:p>
    <w:p w14:paraId="7DC4F347">
      <w:pPr>
        <w:spacing w:line="360" w:lineRule="auto"/>
        <w:ind w:right="560"/>
        <w:jc w:val="both"/>
        <w:rPr>
          <w:rFonts w:hint="eastAsia" w:ascii="宋体" w:hAnsi="宋体" w:cs="宋体"/>
          <w:b/>
          <w:bCs/>
          <w:sz w:val="36"/>
          <w:szCs w:val="36"/>
          <w:lang w:eastAsia="zh-CN"/>
        </w:rPr>
      </w:pPr>
    </w:p>
    <w:p w14:paraId="067A82D7">
      <w:pPr>
        <w:spacing w:line="360" w:lineRule="auto"/>
        <w:ind w:right="560"/>
        <w:jc w:val="both"/>
        <w:rPr>
          <w:rFonts w:hint="eastAsia" w:ascii="宋体" w:hAnsi="宋体" w:cs="宋体"/>
          <w:b/>
          <w:bCs/>
          <w:sz w:val="36"/>
          <w:szCs w:val="36"/>
          <w:lang w:eastAsia="zh-CN"/>
        </w:rPr>
      </w:pPr>
    </w:p>
    <w:p w14:paraId="381741E6">
      <w:pPr>
        <w:spacing w:line="360" w:lineRule="auto"/>
        <w:ind w:right="560"/>
        <w:jc w:val="both"/>
        <w:rPr>
          <w:rFonts w:hint="eastAsia" w:ascii="宋体" w:hAnsi="宋体" w:cs="宋体"/>
          <w:b/>
          <w:bCs/>
          <w:sz w:val="36"/>
          <w:szCs w:val="36"/>
          <w:lang w:eastAsia="zh-CN"/>
        </w:rPr>
      </w:pPr>
    </w:p>
    <w:p w14:paraId="29C7D8F7">
      <w:pPr>
        <w:spacing w:line="360" w:lineRule="auto"/>
        <w:ind w:right="560"/>
        <w:jc w:val="both"/>
        <w:rPr>
          <w:rFonts w:hint="eastAsia" w:ascii="宋体" w:hAnsi="宋体" w:cs="宋体"/>
          <w:b/>
          <w:bCs/>
          <w:sz w:val="36"/>
          <w:szCs w:val="36"/>
          <w:lang w:eastAsia="zh-CN"/>
        </w:rPr>
      </w:pPr>
    </w:p>
    <w:p w14:paraId="12B58793">
      <w:pPr>
        <w:spacing w:line="360" w:lineRule="auto"/>
        <w:ind w:right="560"/>
        <w:jc w:val="both"/>
        <w:rPr>
          <w:rFonts w:hint="eastAsia" w:ascii="宋体" w:hAnsi="宋体" w:cs="宋体"/>
          <w:b/>
          <w:bCs/>
          <w:sz w:val="36"/>
          <w:szCs w:val="36"/>
          <w:lang w:eastAsia="zh-CN"/>
        </w:rPr>
      </w:pPr>
      <w:bookmarkStart w:id="5" w:name="_GoBack"/>
      <w:bookmarkEnd w:id="5"/>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7376"/>
      <w:bookmarkStart w:id="2" w:name="_Toc62734871"/>
      <w:bookmarkStart w:id="3" w:name="_Toc60818732"/>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0CFE4F3B">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2F7643"/>
    <w:rsid w:val="599E1B42"/>
    <w:rsid w:val="5A7259C5"/>
    <w:rsid w:val="5B0416A8"/>
    <w:rsid w:val="5C5F030B"/>
    <w:rsid w:val="5F824661"/>
    <w:rsid w:val="5FF80052"/>
    <w:rsid w:val="60171399"/>
    <w:rsid w:val="60AC0C42"/>
    <w:rsid w:val="61651638"/>
    <w:rsid w:val="61A20F78"/>
    <w:rsid w:val="61D54F1C"/>
    <w:rsid w:val="62EE3A42"/>
    <w:rsid w:val="63917746"/>
    <w:rsid w:val="63EC4B1D"/>
    <w:rsid w:val="66A6332B"/>
    <w:rsid w:val="68442DFB"/>
    <w:rsid w:val="6AD432EA"/>
    <w:rsid w:val="6CA80668"/>
    <w:rsid w:val="6D171304"/>
    <w:rsid w:val="6E123E67"/>
    <w:rsid w:val="6FD05675"/>
    <w:rsid w:val="71487932"/>
    <w:rsid w:val="71FD4A4D"/>
    <w:rsid w:val="725256DA"/>
    <w:rsid w:val="748728B0"/>
    <w:rsid w:val="753B2405"/>
    <w:rsid w:val="75E04BB4"/>
    <w:rsid w:val="76074DF1"/>
    <w:rsid w:val="76135B49"/>
    <w:rsid w:val="775018D4"/>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2977</Words>
  <Characters>3214</Characters>
  <Lines>0</Lines>
  <Paragraphs>0</Paragraphs>
  <TotalTime>0</TotalTime>
  <ScaleCrop>false</ScaleCrop>
  <LinksUpToDate>false</LinksUpToDate>
  <CharactersWithSpaces>3731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2024-10-18T10:07:22Z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