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E3213A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中国（江苏）自贸区连云港国际医药创新产业园一期4#厂房配电增容工程土建项目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中国（江苏）自贸区连云港国际医药创新产业园一期4#厂房配电增容工程土建项目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2154"/>
        <w:gridCol w:w="4732"/>
        <w:gridCol w:w="859"/>
        <w:gridCol w:w="996"/>
        <w:gridCol w:w="1118"/>
      </w:tblGrid>
      <w:tr w14:paraId="79D3A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砖砌体拆除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1、侧墙处砖砌体拆除,留出门洞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1E3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E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D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金属门窗拆除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6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1、原钢制防火门拆除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樘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A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7FE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4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94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砌块墙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98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1、原有防火门拆除后恢复墙体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2、要求与房间内其它墙体做法一致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D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A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F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34808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76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22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变压器基础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41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6B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A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1.37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B8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613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64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6D0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柜基础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AD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73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F7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05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21A48E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5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9A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混凝土压顶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DF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D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m3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D7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7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5A797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6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3D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27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1、钢筋种类:HPB235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2、钢筋规格:φ12以内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64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4C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A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AA52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02A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EA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E1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1、钢筋种类:HRB400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2、钢筋规格:φ12以内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7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8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1.18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7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34FAD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0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EB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现浇构件钢筋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4E4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1、钢筋种类:HRB400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2、钢筋规格:φ25以内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B3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8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0.389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E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6F49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9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DB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零星钢构件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9D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1、预埋铁件、槽钢制作安装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2、所有外露铁件均需热镀锌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3、盖板统一使用角铁包边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0A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C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0.894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367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D9E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3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9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3D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防静电架空地板拆除与恢复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B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1、原有抗静电地板保护性拆除，待设备基础施工完成后，原有防静电地板利旧安装，架高300mm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2、原有地板钢龙骨拆除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3、新建地板钢龙骨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4、部分静电地板破损无法使用，需购买新的静电地板，投标人需综合考虑报价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5、具体做法及其他要求见设计图纸及图集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69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21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96.63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6CC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BD1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3D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CA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墙面一般抹灰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A1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1、新建墙体两侧抹灰，要求与房间内其它墙面做法一致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2、具体做法及其他要求见设计图纸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4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FEC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9.72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04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FF1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EB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49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垃圾清运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68D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1、改造过程产生的建筑垃圾外运至甲方指定地点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65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05C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13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8F9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8AA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F4D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变压器基础模板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71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E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1E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2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C86F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7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999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混凝土压顶模板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04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1、混凝土种类:预拌砼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2、混凝土强度等级:C25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6B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7FA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29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B6CF0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8B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FBD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打孔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31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φ200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6E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F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4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FCA6D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0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A2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基础拆除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CE9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E3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26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F9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86B4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72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A3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总价措施项目费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ED15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8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35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31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6C37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B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37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规费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E4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C4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5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6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FE39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2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B3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税金</w:t>
            </w:r>
          </w:p>
        </w:tc>
        <w:tc>
          <w:tcPr>
            <w:tcW w:w="4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E4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40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4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677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08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70594.61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bookmarkStart w:id="10" w:name="_GoBack"/>
      <w:bookmarkEnd w:id="10"/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项目联系人：孙先生           电话：15305135499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EE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BDD4FF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3E9DC49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7AD553F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CFF140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859744D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1372"/>
      <w:bookmarkStart w:id="4" w:name="_Toc62734871"/>
      <w:bookmarkStart w:id="5" w:name="_Toc60818732"/>
      <w:bookmarkStart w:id="6" w:name="_Toc61877376"/>
      <w:bookmarkStart w:id="7" w:name="_Toc61871288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7C06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3441</Words>
  <Characters>3807</Characters>
  <Lines>0</Lines>
  <Paragraphs>0</Paragraphs>
  <TotalTime>9</TotalTime>
  <ScaleCrop>false</ScaleCrop>
  <LinksUpToDate>false</LinksUpToDate>
  <CharactersWithSpaces>4260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2024-10-23T09:27:00Z</cp:lastPrinted>
  <dcterms:modified xsi:type="dcterms:W3CDTF">2024-10-30T03:04:51Z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64A5E1E7AFE147A985082E4EF35B740E</vt:lpwstr>
  </property>
</Properties>
</file>