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华能灌西盐场300MW渔光互补盐文化绿色能源项目采购镀锌钢管项目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华能灌西盐场300MW渔光互补盐文化绿色能源项目采购镀锌钢管项目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899"/>
        <w:gridCol w:w="2950"/>
        <w:gridCol w:w="1451"/>
        <w:gridCol w:w="1438"/>
        <w:gridCol w:w="1062"/>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4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镀锌钢管</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Φ200*6mm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吨</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132</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镀锌钢管</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Φ50*3.75mm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吨</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23</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产品交付期限：第一批2025年08月0</w:t>
      </w:r>
      <w:r>
        <w:rPr>
          <w:rFonts w:hint="eastAsia" w:ascii="宋体" w:hAnsi="宋体" w:cs="宋体"/>
          <w:sz w:val="24"/>
          <w:lang w:val="en-US" w:eastAsia="zh-CN"/>
        </w:rPr>
        <w:t>8</w:t>
      </w:r>
      <w:r>
        <w:rPr>
          <w:rFonts w:hint="eastAsia" w:ascii="宋体" w:hAnsi="宋体" w:cs="宋体"/>
          <w:sz w:val="24"/>
        </w:rPr>
        <w:t>日前供货，第二批2025年08月</w:t>
      </w:r>
      <w:r>
        <w:rPr>
          <w:rFonts w:hint="eastAsia" w:ascii="宋体" w:hAnsi="宋体" w:cs="宋体"/>
          <w:sz w:val="24"/>
          <w:lang w:val="en-US" w:eastAsia="zh-CN"/>
        </w:rPr>
        <w:t>13</w:t>
      </w:r>
      <w:r>
        <w:rPr>
          <w:rFonts w:hint="eastAsia" w:ascii="宋体" w:hAnsi="宋体" w:cs="宋体"/>
          <w:sz w:val="24"/>
        </w:rPr>
        <w:t>日前供货。（钢管第一批，第二批的供货量分别是总量的一半）。</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835304.00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5AE801A9">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 xml:space="preserve">电汇，合同签订后，乙方若出具银行开具合同总价20%的履约保函，甲方在收到保函7个工作日内向卖方支付合同总价20％的预付款，发货前，乙方提供第一批供货实际发生量的全额增值税发票（税率13%），甲方收到发票后支付第一批供货实际发生量的金额的95%。第二批次发货前，乙方提供第二批供货实际发生量的全额增值税发票（税率13%），甲方收到发票后支付第二批供货实际发生量的金额的95%。剩余5%货款在最后一批发货满一年后的一周内支付或者卖方在最后一批发货后向买方开具二年期银行质量保函，买方收到保函后一周内向卖方支付，以先到为准。 </w:t>
      </w:r>
    </w:p>
    <w:p w14:paraId="0D6ACD5A">
      <w:pPr>
        <w:spacing w:line="360" w:lineRule="auto"/>
        <w:ind w:firstLine="480" w:firstLineChars="200"/>
        <w:jc w:val="left"/>
        <w:rPr>
          <w:rFonts w:hint="eastAsia" w:ascii="宋体" w:hAns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31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8、合同模板</w:t>
      </w:r>
    </w:p>
    <w:p w14:paraId="6C15F0B7">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9、技术参数</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1871288"/>
      <w:bookmarkStart w:id="3" w:name="_Toc6081873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0039EAD2">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64502116">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 xml:space="preserve">卖方（全称）：                                </w:t>
      </w:r>
    </w:p>
    <w:p w14:paraId="63E37D7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买方（全称）：</w:t>
      </w:r>
    </w:p>
    <w:p w14:paraId="05254F9A">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 xml:space="preserve">签订地点：连云港市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 xml:space="preserve">        签订时间：202</w:t>
      </w:r>
      <w:r>
        <w:rPr>
          <w:rFonts w:hint="eastAsia" w:ascii="仿宋_GB2312" w:hAnsi="仿宋_GB2312" w:eastAsia="仿宋_GB2312" w:cs="仿宋_GB2312"/>
          <w:sz w:val="24"/>
          <w:lang w:val="en-US" w:eastAsia="zh-CN"/>
        </w:rPr>
        <w:t xml:space="preserve">5 </w:t>
      </w:r>
      <w:r>
        <w:rPr>
          <w:rFonts w:hint="eastAsia" w:ascii="仿宋_GB2312" w:hAnsi="仿宋_GB2312" w:eastAsia="仿宋_GB2312" w:cs="仿宋_GB2312"/>
          <w:sz w:val="24"/>
          <w:lang w:eastAsia="zh-CN"/>
        </w:rPr>
        <w:t>年    月   日</w:t>
      </w:r>
    </w:p>
    <w:p w14:paraId="5C0E75D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工程名称：                                 合同编号：</w:t>
      </w:r>
    </w:p>
    <w:p w14:paraId="750C76F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第一条　产品名称、品牌商标、规格型号、数量、金额</w:t>
      </w:r>
    </w:p>
    <w:tbl>
      <w:tblPr>
        <w:tblStyle w:val="7"/>
        <w:tblW w:w="9199"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9"/>
        <w:gridCol w:w="2574"/>
        <w:gridCol w:w="709"/>
        <w:gridCol w:w="949"/>
        <w:gridCol w:w="1004"/>
        <w:gridCol w:w="1146"/>
        <w:gridCol w:w="771"/>
      </w:tblGrid>
      <w:tr w14:paraId="6056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737" w:type="dxa"/>
            <w:vAlign w:val="center"/>
          </w:tcPr>
          <w:p w14:paraId="56C44C14">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序号</w:t>
            </w:r>
          </w:p>
        </w:tc>
        <w:tc>
          <w:tcPr>
            <w:tcW w:w="1309" w:type="dxa"/>
            <w:vAlign w:val="center"/>
          </w:tcPr>
          <w:p w14:paraId="2E102F05">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货物名称</w:t>
            </w:r>
          </w:p>
        </w:tc>
        <w:tc>
          <w:tcPr>
            <w:tcW w:w="2574" w:type="dxa"/>
            <w:vAlign w:val="center"/>
          </w:tcPr>
          <w:p w14:paraId="09C5761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型号规格</w:t>
            </w:r>
          </w:p>
        </w:tc>
        <w:tc>
          <w:tcPr>
            <w:tcW w:w="709" w:type="dxa"/>
            <w:vAlign w:val="center"/>
          </w:tcPr>
          <w:p w14:paraId="48A0A58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单位</w:t>
            </w:r>
          </w:p>
        </w:tc>
        <w:tc>
          <w:tcPr>
            <w:tcW w:w="949" w:type="dxa"/>
            <w:vAlign w:val="center"/>
          </w:tcPr>
          <w:p w14:paraId="39532BF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数量</w:t>
            </w:r>
          </w:p>
        </w:tc>
        <w:tc>
          <w:tcPr>
            <w:tcW w:w="1004" w:type="dxa"/>
            <w:vAlign w:val="center"/>
          </w:tcPr>
          <w:p w14:paraId="54156F5A">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单价（元）</w:t>
            </w:r>
          </w:p>
        </w:tc>
        <w:tc>
          <w:tcPr>
            <w:tcW w:w="1146" w:type="dxa"/>
            <w:vAlign w:val="center"/>
          </w:tcPr>
          <w:p w14:paraId="209ECFB4">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总价（元）</w:t>
            </w:r>
          </w:p>
        </w:tc>
        <w:tc>
          <w:tcPr>
            <w:tcW w:w="771" w:type="dxa"/>
            <w:vAlign w:val="center"/>
          </w:tcPr>
          <w:p w14:paraId="307ED0EF">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备注</w:t>
            </w:r>
          </w:p>
        </w:tc>
      </w:tr>
      <w:tr w14:paraId="253D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vAlign w:val="center"/>
          </w:tcPr>
          <w:p w14:paraId="358C2FF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w:t>
            </w:r>
          </w:p>
        </w:tc>
        <w:tc>
          <w:tcPr>
            <w:tcW w:w="1309" w:type="dxa"/>
            <w:vAlign w:val="center"/>
          </w:tcPr>
          <w:p w14:paraId="6DD86B6E">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镀锌钢管</w:t>
            </w:r>
          </w:p>
        </w:tc>
        <w:tc>
          <w:tcPr>
            <w:tcW w:w="2574" w:type="dxa"/>
            <w:vAlign w:val="center"/>
          </w:tcPr>
          <w:p w14:paraId="1CEE8BF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Φ200*6mm</w:t>
            </w:r>
          </w:p>
        </w:tc>
        <w:tc>
          <w:tcPr>
            <w:tcW w:w="709" w:type="dxa"/>
            <w:vAlign w:val="center"/>
          </w:tcPr>
          <w:p w14:paraId="2A4E7698">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吨</w:t>
            </w:r>
          </w:p>
        </w:tc>
        <w:tc>
          <w:tcPr>
            <w:tcW w:w="949" w:type="dxa"/>
            <w:vAlign w:val="center"/>
          </w:tcPr>
          <w:p w14:paraId="5DAC4DB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132</w:t>
            </w:r>
          </w:p>
        </w:tc>
        <w:tc>
          <w:tcPr>
            <w:tcW w:w="1004" w:type="dxa"/>
            <w:vAlign w:val="center"/>
          </w:tcPr>
          <w:p w14:paraId="19E708C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1146" w:type="dxa"/>
            <w:vAlign w:val="center"/>
          </w:tcPr>
          <w:p w14:paraId="210C4636">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771" w:type="dxa"/>
            <w:vAlign w:val="center"/>
          </w:tcPr>
          <w:p w14:paraId="6EF6EAD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仿宋_GB2312" w:hAnsi="仿宋_GB2312" w:eastAsia="仿宋_GB2312" w:cs="仿宋_GB2312"/>
                <w:sz w:val="24"/>
                <w:lang w:val="en-US" w:eastAsia="zh-CN"/>
              </w:rPr>
            </w:pPr>
          </w:p>
        </w:tc>
      </w:tr>
      <w:tr w14:paraId="74DA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37" w:type="dxa"/>
            <w:vAlign w:val="center"/>
          </w:tcPr>
          <w:p w14:paraId="29540BD1">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1309" w:type="dxa"/>
            <w:vAlign w:val="center"/>
          </w:tcPr>
          <w:p w14:paraId="2C93331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镀锌钢管</w:t>
            </w:r>
          </w:p>
        </w:tc>
        <w:tc>
          <w:tcPr>
            <w:tcW w:w="2574" w:type="dxa"/>
            <w:vAlign w:val="center"/>
          </w:tcPr>
          <w:p w14:paraId="1D8CE0C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Φ50*3.75mm</w:t>
            </w:r>
          </w:p>
        </w:tc>
        <w:tc>
          <w:tcPr>
            <w:tcW w:w="709" w:type="dxa"/>
            <w:vAlign w:val="center"/>
          </w:tcPr>
          <w:p w14:paraId="2B7FFE2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吨</w:t>
            </w:r>
          </w:p>
        </w:tc>
        <w:tc>
          <w:tcPr>
            <w:tcW w:w="949" w:type="dxa"/>
            <w:vAlign w:val="center"/>
          </w:tcPr>
          <w:p w14:paraId="611BF35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w:t>
            </w:r>
          </w:p>
        </w:tc>
        <w:tc>
          <w:tcPr>
            <w:tcW w:w="1004" w:type="dxa"/>
            <w:vAlign w:val="center"/>
          </w:tcPr>
          <w:p w14:paraId="07A41BBD">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1146" w:type="dxa"/>
            <w:vAlign w:val="center"/>
          </w:tcPr>
          <w:p w14:paraId="7027FE56">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771" w:type="dxa"/>
            <w:vAlign w:val="center"/>
          </w:tcPr>
          <w:p w14:paraId="49576E1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仿宋_GB2312" w:hAnsi="仿宋_GB2312" w:eastAsia="仿宋_GB2312" w:cs="仿宋_GB2312"/>
                <w:sz w:val="24"/>
                <w:lang w:val="en-US" w:eastAsia="zh-CN"/>
              </w:rPr>
            </w:pPr>
          </w:p>
        </w:tc>
      </w:tr>
      <w:tr w14:paraId="4936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282" w:type="dxa"/>
            <w:gridSpan w:val="6"/>
            <w:vAlign w:val="center"/>
          </w:tcPr>
          <w:p w14:paraId="6CCFF27A">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合计</w:t>
            </w:r>
          </w:p>
        </w:tc>
        <w:tc>
          <w:tcPr>
            <w:tcW w:w="1146" w:type="dxa"/>
            <w:vAlign w:val="center"/>
          </w:tcPr>
          <w:p w14:paraId="064A7BF8">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p>
        </w:tc>
        <w:tc>
          <w:tcPr>
            <w:tcW w:w="771" w:type="dxa"/>
            <w:vAlign w:val="center"/>
          </w:tcPr>
          <w:p w14:paraId="669E68F5">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p>
        </w:tc>
      </w:tr>
      <w:tr w14:paraId="56EF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9" w:type="dxa"/>
            <w:gridSpan w:val="8"/>
            <w:vAlign w:val="center"/>
          </w:tcPr>
          <w:p w14:paraId="7A539BE7">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大写：（人民币）</w:t>
            </w:r>
            <w:bookmarkStart w:id="5" w:name="_GoBack"/>
            <w:bookmarkEnd w:id="5"/>
          </w:p>
        </w:tc>
      </w:tr>
      <w:tr w14:paraId="1FD6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9" w:type="dxa"/>
            <w:gridSpan w:val="8"/>
            <w:vAlign w:val="center"/>
          </w:tcPr>
          <w:p w14:paraId="3A986B9A">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备注：①投标单位根据本清单并结合图纸进行报价；②本次采购税率统一按照13%报价，③报价含材料（设备）费用、包装费、运输费、保险费、技术指导服务费、税金等（到工地价格），结算时根据中标单位开具的发票调整税率。</w:t>
            </w:r>
          </w:p>
        </w:tc>
      </w:tr>
    </w:tbl>
    <w:p w14:paraId="42B4CF4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25C5004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42E54EE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年。如国家法律法规对标的物的保质期限有明确规定的，从其规定，标的物质量负责期限为</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年的条款不再适用。</w:t>
      </w:r>
    </w:p>
    <w:p w14:paraId="4288E21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w:t>
      </w:r>
      <w:r>
        <w:rPr>
          <w:rFonts w:hint="eastAsia" w:ascii="宋体" w:hAnsi="宋体" w:eastAsia="宋体" w:cs="宋体"/>
          <w:bCs/>
          <w:snapToGrid w:val="0"/>
          <w:kern w:val="0"/>
          <w:sz w:val="24"/>
          <w:szCs w:val="24"/>
          <w:lang w:eastAsia="zh-CN"/>
        </w:rPr>
        <w:t>约定</w:t>
      </w:r>
      <w:r>
        <w:rPr>
          <w:rFonts w:hint="eastAsia" w:ascii="仿宋_GB2312" w:hAnsi="仿宋_GB2312" w:eastAsia="仿宋_GB2312" w:cs="仿宋_GB2312"/>
          <w:sz w:val="24"/>
        </w:rPr>
        <w:t>的，依据约定；没有约定的，合同签订后20天内。</w:t>
      </w:r>
    </w:p>
    <w:p w14:paraId="21C523E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533D49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D4D8B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194F32AD">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highlight w:val="none"/>
        </w:rPr>
      </w:pPr>
      <w:r>
        <w:rPr>
          <w:rFonts w:hint="eastAsia" w:ascii="仿宋_GB2312" w:hAnsi="仿宋_GB2312" w:eastAsia="仿宋_GB2312" w:cs="仿宋_GB2312"/>
          <w:b/>
          <w:bCs/>
          <w:sz w:val="24"/>
          <w:highlight w:val="none"/>
        </w:rPr>
        <w:t>第七条　随机的必备品、配件：</w:t>
      </w:r>
      <w:r>
        <w:rPr>
          <w:rFonts w:hint="eastAsia" w:ascii="仿宋_GB2312" w:hAnsi="仿宋_GB2312" w:eastAsia="仿宋_GB2312" w:cs="仿宋_GB2312"/>
          <w:sz w:val="24"/>
          <w:highlight w:val="none"/>
        </w:rPr>
        <w:t>卖方必须提供设备说明书、安装、维护和操作文件、产品合格证、型式试验报告、3C报告、出厂检测报告及附件齐全。</w:t>
      </w:r>
    </w:p>
    <w:p w14:paraId="1B6EE4D1">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3A173F1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8ACBCB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val="0"/>
          <w:bCs w:val="0"/>
          <w:sz w:val="24"/>
          <w:highlight w:val="yellow"/>
          <w:lang w:val="en-US" w:eastAsia="zh-CN"/>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val="0"/>
          <w:bCs w:val="0"/>
          <w:sz w:val="24"/>
          <w:highlight w:val="yellow"/>
          <w:lang w:val="en-US" w:eastAsia="zh-CN"/>
        </w:rPr>
        <w:t xml:space="preserve">电汇，合同签订后，乙方若出具银行开具合同总价20%的履约保函，甲方在收到保函7个工作日内向卖方支付合同总价20％的预付款，发货前，乙方提供第一批供货实际发生量的全额增值税发票（税率13%），甲方收到发票后支付第一批供货实际发生量的金额的95%。第二批次发货前，乙方提供第二批供货实际发生量的全额增值税发票（税率13%），甲方收到发票后支付第二批供货实际发生量的金额的95%。剩余5%货款在最后一批发货满一年后的一周内支付或者卖方在最后一批发货后向买方开具二年期银行质量保函，买方收到保函后一周内向卖方支付，以先到为准。 </w:t>
      </w:r>
    </w:p>
    <w:p w14:paraId="08F97BE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b w:val="0"/>
          <w:bCs w:val="0"/>
          <w:sz w:val="24"/>
          <w:highlight w:val="yellow"/>
          <w:lang w:val="en-US" w:eastAsia="zh-CN"/>
        </w:rPr>
      </w:pPr>
      <w:r>
        <w:rPr>
          <w:rFonts w:hint="eastAsia" w:ascii="仿宋_GB2312" w:hAnsi="仿宋_GB2312" w:eastAsia="仿宋_GB2312" w:cs="仿宋_GB2312"/>
          <w:b w:val="0"/>
          <w:bCs w:val="0"/>
          <w:sz w:val="24"/>
          <w:highlight w:val="yellow"/>
          <w:lang w:val="en-US" w:eastAsia="zh-CN"/>
        </w:rPr>
        <w:t>按实结算，最终结算数量以甲方要求供货的实际供货验收数量为准，上下增减均不超过10%。单价执行投标时的综合单价；即结算价为:实际工程量乘以投标时综合单价。</w:t>
      </w:r>
    </w:p>
    <w:p w14:paraId="5F21938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b w:val="0"/>
          <w:bCs w:val="0"/>
          <w:sz w:val="24"/>
          <w:highlight w:val="none"/>
        </w:rPr>
      </w:pPr>
      <w:r>
        <w:rPr>
          <w:rFonts w:hint="eastAsia" w:ascii="仿宋_GB2312" w:hAnsi="仿宋_GB2312" w:eastAsia="仿宋_GB2312" w:cs="仿宋_GB2312"/>
          <w:b w:val="0"/>
          <w:bCs w:val="0"/>
          <w:sz w:val="24"/>
          <w:highlight w:val="none"/>
        </w:rPr>
        <w:t>第十条　标的物所有权自交货验收合格时起转移，但买方未履行支付价款义务的，标的物属于卖方所有。</w:t>
      </w:r>
    </w:p>
    <w:p w14:paraId="30C1EC07">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第十一条  质量保证</w:t>
      </w:r>
    </w:p>
    <w:p w14:paraId="04A53D5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2B9817BF">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256E39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D4C98B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4EEC837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66D0B22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7DF4A19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7963EDD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06D92F1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3C052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2F6C48E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1F1C991D">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24A7911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46E7CFD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656547F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136B39A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2ACA33A7">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3FF7624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3D44CAB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0FAA9C2F">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00148EF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4C6EC0B">
      <w:pPr>
        <w:jc w:val="left"/>
        <w:rPr>
          <w:rFonts w:ascii="仿宋_GB2312" w:hAnsi="仿宋_GB2312" w:eastAsia="仿宋_GB2312" w:cs="仿宋_GB2312"/>
          <w:sz w:val="24"/>
        </w:rPr>
      </w:pPr>
    </w:p>
    <w:tbl>
      <w:tblPr>
        <w:tblStyle w:val="7"/>
        <w:tblW w:w="9363" w:type="dxa"/>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5013"/>
      </w:tblGrid>
      <w:tr w14:paraId="1A2F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350" w:type="dxa"/>
          </w:tcPr>
          <w:p w14:paraId="7170979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947D369">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0030A44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0FB5D027">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02959AF9">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3F2EE6D">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08ED2ED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6288AAF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42441A22">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E23E82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642672D6">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5013" w:type="dxa"/>
          </w:tcPr>
          <w:p w14:paraId="12DFE58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4A0E83B2">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41B384A">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3B90CC65">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550750F9">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76F0D46C">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67726B14">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2598DA4B">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CC48BDB">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68307B51">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29061B6">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72C4C5BB">
      <w:pPr>
        <w:jc w:val="left"/>
        <w:rPr>
          <w:rFonts w:ascii="仿宋_GB2312" w:hAnsi="仿宋_GB2312" w:eastAsia="仿宋_GB2312" w:cs="仿宋_GB2312"/>
          <w:sz w:val="24"/>
          <w:u w:val="single"/>
        </w:rPr>
      </w:pPr>
    </w:p>
    <w:p w14:paraId="47ED588B">
      <w:pPr>
        <w:spacing w:line="360" w:lineRule="auto"/>
        <w:ind w:right="560"/>
        <w:jc w:val="both"/>
        <w:rPr>
          <w:rFonts w:hint="eastAsia" w:ascii="宋体" w:hAnsi="宋体" w:cs="宋体"/>
          <w:sz w:val="24"/>
        </w:rPr>
      </w:pPr>
    </w:p>
    <w:p w14:paraId="4B7A5E5E">
      <w:pPr>
        <w:spacing w:line="360" w:lineRule="auto"/>
        <w:ind w:right="560"/>
        <w:jc w:val="both"/>
        <w:rPr>
          <w:rFonts w:hint="eastAsia" w:ascii="宋体" w:hAnsi="宋体" w:cs="宋体"/>
          <w:sz w:val="24"/>
        </w:rPr>
      </w:pPr>
    </w:p>
    <w:p w14:paraId="2D382E96">
      <w:pPr>
        <w:spacing w:line="360" w:lineRule="auto"/>
        <w:ind w:right="560"/>
        <w:jc w:val="both"/>
        <w:rPr>
          <w:rFonts w:hint="eastAsia" w:ascii="宋体" w:hAnsi="宋体" w:cs="宋体"/>
          <w:sz w:val="24"/>
        </w:rPr>
      </w:pPr>
    </w:p>
    <w:p w14:paraId="701D5814">
      <w:pPr>
        <w:spacing w:line="360" w:lineRule="auto"/>
        <w:ind w:right="560"/>
        <w:jc w:val="both"/>
        <w:rPr>
          <w:rFonts w:hint="eastAsia" w:ascii="宋体" w:hAnsi="宋体" w:cs="宋体"/>
          <w:sz w:val="24"/>
        </w:rPr>
      </w:pPr>
    </w:p>
    <w:p w14:paraId="40FDA8B0">
      <w:pPr>
        <w:spacing w:line="360" w:lineRule="auto"/>
        <w:ind w:right="560"/>
        <w:jc w:val="both"/>
        <w:rPr>
          <w:rFonts w:hint="eastAsia" w:ascii="宋体" w:hAnsi="宋体" w:cs="宋体"/>
          <w:sz w:val="24"/>
        </w:rPr>
      </w:pPr>
    </w:p>
    <w:p w14:paraId="64B5DC94">
      <w:pPr>
        <w:spacing w:line="360" w:lineRule="auto"/>
        <w:ind w:right="560"/>
        <w:jc w:val="both"/>
        <w:rPr>
          <w:rFonts w:hint="eastAsia" w:ascii="宋体" w:hAnsi="宋体" w:cs="宋体"/>
          <w:sz w:val="24"/>
        </w:rPr>
      </w:pPr>
    </w:p>
    <w:p w14:paraId="7C4A2632">
      <w:pPr>
        <w:spacing w:line="360" w:lineRule="auto"/>
        <w:ind w:right="560"/>
        <w:jc w:val="both"/>
        <w:rPr>
          <w:rFonts w:hint="eastAsia" w:ascii="宋体" w:hAnsi="宋体" w:cs="宋体"/>
          <w:sz w:val="24"/>
        </w:rPr>
      </w:pPr>
    </w:p>
    <w:p w14:paraId="12D2C58F">
      <w:pPr>
        <w:spacing w:line="360" w:lineRule="auto"/>
        <w:ind w:right="560"/>
        <w:jc w:val="both"/>
        <w:rPr>
          <w:rFonts w:hint="eastAsia" w:ascii="宋体" w:hAnsi="宋体" w:cs="宋体"/>
          <w:sz w:val="24"/>
        </w:rPr>
      </w:pPr>
    </w:p>
    <w:p w14:paraId="45FDFEBF">
      <w:pPr>
        <w:spacing w:line="360" w:lineRule="auto"/>
        <w:ind w:right="560"/>
        <w:jc w:val="both"/>
        <w:rPr>
          <w:rFonts w:hint="eastAsia" w:ascii="宋体" w:hAnsi="宋体" w:cs="宋体"/>
          <w:sz w:val="24"/>
        </w:rPr>
      </w:pPr>
    </w:p>
    <w:p w14:paraId="0B359E89">
      <w:pPr>
        <w:spacing w:line="360" w:lineRule="auto"/>
        <w:ind w:right="560"/>
        <w:jc w:val="both"/>
        <w:rPr>
          <w:rFonts w:hint="eastAsia" w:ascii="宋体" w:hAnsi="宋体" w:cs="宋体"/>
          <w:sz w:val="24"/>
        </w:rPr>
      </w:pPr>
    </w:p>
    <w:p w14:paraId="6D75A10B">
      <w:pPr>
        <w:spacing w:line="360" w:lineRule="auto"/>
        <w:ind w:right="560"/>
        <w:jc w:val="both"/>
        <w:rPr>
          <w:rFonts w:hint="eastAsia" w:ascii="宋体" w:hAnsi="宋体" w:cs="宋体"/>
          <w:sz w:val="24"/>
        </w:rPr>
      </w:pPr>
    </w:p>
    <w:p w14:paraId="2FB3AF8F">
      <w:pPr>
        <w:spacing w:line="360" w:lineRule="auto"/>
        <w:ind w:right="560"/>
        <w:jc w:val="both"/>
        <w:rPr>
          <w:rFonts w:hint="eastAsia" w:ascii="宋体" w:hAnsi="宋体" w:cs="宋体"/>
          <w:sz w:val="24"/>
        </w:rPr>
      </w:pPr>
    </w:p>
    <w:p w14:paraId="602AD98A">
      <w:pPr>
        <w:spacing w:line="360" w:lineRule="auto"/>
        <w:ind w:right="560"/>
        <w:jc w:val="both"/>
        <w:rPr>
          <w:rFonts w:hint="eastAsia" w:ascii="宋体" w:hAnsi="宋体" w:cs="宋体"/>
          <w:sz w:val="24"/>
        </w:rPr>
      </w:pPr>
    </w:p>
    <w:p w14:paraId="05AF2B52">
      <w:pPr>
        <w:spacing w:line="360" w:lineRule="auto"/>
        <w:ind w:right="560"/>
        <w:jc w:val="both"/>
        <w:rPr>
          <w:rFonts w:hint="eastAsia" w:ascii="宋体" w:hAnsi="宋体" w:cs="宋体"/>
          <w:sz w:val="24"/>
        </w:rPr>
      </w:pPr>
    </w:p>
    <w:p w14:paraId="29B05C7D">
      <w:pPr>
        <w:jc w:val="center"/>
        <w:rPr>
          <w:rFonts w:hint="eastAsia" w:ascii="宋体" w:hAnsi="宋体" w:eastAsia="宋体" w:cs="宋体"/>
          <w:b/>
          <w:bCs/>
          <w:sz w:val="28"/>
          <w:szCs w:val="36"/>
        </w:rPr>
      </w:pPr>
      <w:r>
        <w:rPr>
          <w:rFonts w:hint="eastAsia" w:ascii="宋体" w:hAnsi="宋体" w:eastAsia="宋体" w:cs="宋体"/>
          <w:b/>
          <w:bCs/>
          <w:sz w:val="28"/>
          <w:szCs w:val="36"/>
        </w:rPr>
        <w:t>地埋用DN50镀锌钢管招标技术要求</w:t>
      </w:r>
    </w:p>
    <w:p w14:paraId="4FE5903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一、总则</w:t>
      </w:r>
    </w:p>
    <w:p w14:paraId="200ADC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本技术要求适用于地埋电缆保护用热浸镀锌钢管（以下简称“镀锌钢管”）的采购与供货。</w:t>
      </w:r>
    </w:p>
    <w:p w14:paraId="66085E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所有提供的产品必须满足国家相关标准及设计要求，并具有良好的耐腐蚀性、机械性能和施工适应性。</w:t>
      </w:r>
    </w:p>
    <w:p w14:paraId="070A8B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投标人应提供完整的技术资料、质量证明文件及相关检测报告。</w:t>
      </w:r>
    </w:p>
    <w:p w14:paraId="108A04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二、技术参数与性能要求</w:t>
      </w:r>
    </w:p>
    <w:p w14:paraId="337654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钢管规格：</w:t>
      </w:r>
    </w:p>
    <w:p w14:paraId="219194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公称直径：DN50</w:t>
      </w:r>
    </w:p>
    <w:p w14:paraId="38EDF5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 外径：约60.3 mm壁厚：3.75mm</w:t>
      </w:r>
    </w:p>
    <w:p w14:paraId="6B3D58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长度：标准长度为6米</w:t>
      </w:r>
    </w:p>
    <w:p w14:paraId="08C796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材质标准：</w:t>
      </w:r>
    </w:p>
    <w:p w14:paraId="1374BB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钢材材质：Q235B 或 Q345B（符合GB/T 700《碳素结构钢》或GB/T 1591《低合金高强度结构钢》）</w:t>
      </w:r>
    </w:p>
    <w:p w14:paraId="3CACF4C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钢管制造标准：GB/T 3091《低压流体输送用焊接钢管》</w:t>
      </w:r>
    </w:p>
    <w:p w14:paraId="6BF7F61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热浸镀锌标准：GB/T 13912《金属覆盖层 钢铁制件热浸镀锌层技术要求及试验方法》</w:t>
      </w:r>
    </w:p>
    <w:p w14:paraId="6CBCB7A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3. 镀锌层要求：</w:t>
      </w:r>
    </w:p>
    <w:p w14:paraId="2877737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镀锌方式：热浸镀锌</w:t>
      </w:r>
    </w:p>
    <w:p w14:paraId="62194D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锌层厚度：平均≥65μm</w:t>
      </w:r>
    </w:p>
    <w:p w14:paraId="25B1B0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表面质量：镀锌层均匀、光滑，无漏镀、起皮、剥落、气泡等缺陷</w:t>
      </w:r>
    </w:p>
    <w:p w14:paraId="700813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4. 外观与尺寸偏差：</w:t>
      </w:r>
    </w:p>
    <w:p w14:paraId="3B20F63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表面应平整、无裂纹、重皮、分层等缺陷</w:t>
      </w:r>
    </w:p>
    <w:p w14:paraId="1CD74B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三、包装、标志与运输要求</w:t>
      </w:r>
    </w:p>
    <w:p w14:paraId="1ADB80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包装：</w:t>
      </w:r>
    </w:p>
    <w:p w14:paraId="3CCE2E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钢管应按定尺捆扎，每捆不少于两道钢带</w:t>
      </w:r>
    </w:p>
    <w:p w14:paraId="2FBBD0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外部包裹防潮材料，防止运输中受损</w:t>
      </w:r>
    </w:p>
    <w:p w14:paraId="6DA71F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运输：</w:t>
      </w:r>
    </w:p>
    <w:p w14:paraId="4938536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应采用防雨、防锈措施</w:t>
      </w:r>
    </w:p>
    <w:p w14:paraId="4601D0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36"/>
          <w:lang w:val="en-US" w:eastAsia="zh-CN"/>
        </w:rPr>
      </w:pPr>
      <w:r>
        <w:rPr>
          <w:rFonts w:hint="eastAsia"/>
          <w:sz w:val="24"/>
          <w:szCs w:val="24"/>
          <w:lang w:val="en-US" w:eastAsia="zh-CN"/>
        </w:rPr>
        <w:t xml:space="preserve">   - 运输过程中应避免剧烈碰撞、挤压变形</w:t>
      </w:r>
    </w:p>
    <w:p w14:paraId="26D2D719">
      <w:pPr>
        <w:jc w:val="center"/>
        <w:rPr>
          <w:rFonts w:hint="eastAsia" w:ascii="宋体" w:hAnsi="宋体" w:eastAsia="宋体" w:cs="宋体"/>
          <w:b/>
          <w:bCs/>
          <w:sz w:val="28"/>
          <w:szCs w:val="36"/>
        </w:rPr>
      </w:pPr>
      <w:r>
        <w:rPr>
          <w:rFonts w:hint="eastAsia" w:ascii="宋体" w:hAnsi="宋体" w:eastAsia="宋体" w:cs="宋体"/>
          <w:b/>
          <w:bCs/>
          <w:sz w:val="28"/>
          <w:szCs w:val="36"/>
        </w:rPr>
        <w:t>地埋用DN200镀锌钢管招标技术要求</w:t>
      </w:r>
    </w:p>
    <w:p w14:paraId="2D3AF2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一、总则</w:t>
      </w:r>
    </w:p>
    <w:p w14:paraId="58337A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本技术要求适用于地埋电缆保护用热浸镀锌钢管（以下简称“镀锌钢管”）的采购与供货。</w:t>
      </w:r>
    </w:p>
    <w:p w14:paraId="0FE7440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所有提供的产品必须满足国家相关标准及设计要求，并具有良好的耐腐蚀性、机械性能和施工适应性。</w:t>
      </w:r>
    </w:p>
    <w:p w14:paraId="61112F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投标人应提供完整的技术资料、质量证明文件及相关检测报告。</w:t>
      </w:r>
    </w:p>
    <w:p w14:paraId="4DE4C9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二、技术参数与性能要求</w:t>
      </w:r>
    </w:p>
    <w:p w14:paraId="1C4ECEE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钢管规格：</w:t>
      </w:r>
    </w:p>
    <w:p w14:paraId="3EEFB8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公称直径：DN200</w:t>
      </w:r>
    </w:p>
    <w:p w14:paraId="49F6537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外径：约219 mm</w:t>
      </w:r>
    </w:p>
    <w:p w14:paraId="26CA74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壁厚：约6.0 mm</w:t>
      </w:r>
    </w:p>
    <w:p w14:paraId="2F208AD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长度：标准长度为6米</w:t>
      </w:r>
    </w:p>
    <w:p w14:paraId="4DCF9C2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2. 材质标准：</w:t>
      </w:r>
    </w:p>
    <w:p w14:paraId="696135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钢材材质：Q235B 或 Q345B（符合GB/T 700《碳素结构钢》或GB/T 1591《低合金高强度结构钢》）</w:t>
      </w:r>
    </w:p>
    <w:p w14:paraId="7B7E15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钢管制造标准：GB/T 3091《低压流体输送用焊接钢管》</w:t>
      </w:r>
    </w:p>
    <w:p w14:paraId="2D5AB8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热浸镀锌标准：GB/T 13912《金属覆盖层 钢铁制件热浸镀锌层技术要求及试验方法》</w:t>
      </w:r>
    </w:p>
    <w:p w14:paraId="3A4E59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镀锌层要求：</w:t>
      </w:r>
    </w:p>
    <w:p w14:paraId="5D021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镀锌方式：热浸镀锌</w:t>
      </w:r>
    </w:p>
    <w:p w14:paraId="3FC42AA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锌层厚度：平均≥65μm</w:t>
      </w:r>
    </w:p>
    <w:p w14:paraId="2D91313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表面质量：镀锌层均匀、光滑，无漏镀、起皮、剥落、气泡等缺陷</w:t>
      </w:r>
    </w:p>
    <w:p w14:paraId="406B64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附着力测试：应通过锤击法或弯曲法检验，不得出现脱落现象</w:t>
      </w:r>
    </w:p>
    <w:p w14:paraId="778539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4. 外观与尺寸偏差：</w:t>
      </w:r>
    </w:p>
    <w:p w14:paraId="7DC215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表面应平整、无裂纹、重皮、分层等缺陷</w:t>
      </w:r>
    </w:p>
    <w:p w14:paraId="78813C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弯曲度不大于钢管长度的0.2%</w:t>
      </w:r>
    </w:p>
    <w:p w14:paraId="4940AF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椭圆度不超过外径公差的80%</w:t>
      </w:r>
    </w:p>
    <w:p w14:paraId="56FE296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三、包装、标志与运输要求</w:t>
      </w:r>
    </w:p>
    <w:p w14:paraId="5A82F1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包装：</w:t>
      </w:r>
    </w:p>
    <w:p w14:paraId="41E29A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钢管应按定尺或倍尺捆扎，每捆不少于两道钢带</w:t>
      </w:r>
    </w:p>
    <w:p w14:paraId="36165A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外部包裹防潮材料，防止运输中受损</w:t>
      </w:r>
    </w:p>
    <w:p w14:paraId="1F9A5E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运输：</w:t>
      </w:r>
    </w:p>
    <w:p w14:paraId="17822B6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应采用防雨、防锈措施</w:t>
      </w:r>
    </w:p>
    <w:p w14:paraId="40BC8C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运输过程中应避免剧烈碰撞、挤压变形</w:t>
      </w:r>
    </w:p>
    <w:p w14:paraId="2932CF1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四、检验与验收</w:t>
      </w:r>
    </w:p>
    <w:p w14:paraId="50827EB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出厂检验：</w:t>
      </w:r>
    </w:p>
    <w:p w14:paraId="50A6416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包括外观检查、尺寸测量、镀锌层厚度检测等</w:t>
      </w:r>
    </w:p>
    <w:p w14:paraId="41BE48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提供每批次的产品合格证、材质报告、镀锌检测报告</w:t>
      </w:r>
    </w:p>
    <w:p w14:paraId="3627C04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到货验收：</w:t>
      </w:r>
    </w:p>
    <w:p w14:paraId="0FBF9A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买方有权在交货地点对产品进行抽样复检</w:t>
      </w:r>
    </w:p>
    <w:p w14:paraId="4E201A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如发现不合格品，卖方须无条件更换并承担相应责任</w:t>
      </w:r>
    </w:p>
    <w:p w14:paraId="7E296C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第三方检测：</w:t>
      </w:r>
    </w:p>
    <w:p w14:paraId="103560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必要时由双方认可的第三方检测机构出具检测报告</w:t>
      </w:r>
    </w:p>
    <w:p w14:paraId="29E7C570">
      <w:pPr>
        <w:widowControl w:val="0"/>
        <w:numPr>
          <w:ilvl w:val="0"/>
          <w:numId w:val="0"/>
        </w:numPr>
        <w:spacing w:line="360" w:lineRule="auto"/>
        <w:ind w:firstLine="420" w:firstLineChars="200"/>
        <w:jc w:val="both"/>
        <w:rPr>
          <w:rFonts w:hint="eastAsia"/>
          <w:lang w:val="en-US" w:eastAsia="zh-CN"/>
        </w:rPr>
      </w:pPr>
    </w:p>
    <w:p w14:paraId="5E81C5BF">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5B465F2"/>
    <w:rsid w:val="16BD7DED"/>
    <w:rsid w:val="171A4BA4"/>
    <w:rsid w:val="178640CA"/>
    <w:rsid w:val="17C9440E"/>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08B2"/>
    <w:rsid w:val="1F5844BB"/>
    <w:rsid w:val="1F8A6A8E"/>
    <w:rsid w:val="1FB216ED"/>
    <w:rsid w:val="208E0508"/>
    <w:rsid w:val="209C2412"/>
    <w:rsid w:val="20A27049"/>
    <w:rsid w:val="219C68EA"/>
    <w:rsid w:val="220B3A67"/>
    <w:rsid w:val="22770EBB"/>
    <w:rsid w:val="22877591"/>
    <w:rsid w:val="22D10D3B"/>
    <w:rsid w:val="23104268"/>
    <w:rsid w:val="23991505"/>
    <w:rsid w:val="23BB7507"/>
    <w:rsid w:val="23C07B4A"/>
    <w:rsid w:val="249D7540"/>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D5776"/>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264590"/>
    <w:rsid w:val="453254A3"/>
    <w:rsid w:val="45AE2934"/>
    <w:rsid w:val="463933AC"/>
    <w:rsid w:val="467A0DF2"/>
    <w:rsid w:val="46D633A5"/>
    <w:rsid w:val="470A54D5"/>
    <w:rsid w:val="477214B2"/>
    <w:rsid w:val="482512D8"/>
    <w:rsid w:val="488134C6"/>
    <w:rsid w:val="48D70925"/>
    <w:rsid w:val="4A242B72"/>
    <w:rsid w:val="4B2844F3"/>
    <w:rsid w:val="4B2B4CF5"/>
    <w:rsid w:val="4B5120F7"/>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8D7371"/>
    <w:rsid w:val="599E1B42"/>
    <w:rsid w:val="5A7259C5"/>
    <w:rsid w:val="5A870E7A"/>
    <w:rsid w:val="5B0416A8"/>
    <w:rsid w:val="5C5F030B"/>
    <w:rsid w:val="5EB838BA"/>
    <w:rsid w:val="5F824661"/>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D432EA"/>
    <w:rsid w:val="6B1B3F4D"/>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7F24C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18</Pages>
  <Words>6951</Words>
  <Characters>7502</Characters>
  <Lines>0</Lines>
  <Paragraphs>0</Paragraphs>
  <TotalTime>8</TotalTime>
  <ScaleCrop>false</ScaleCrop>
  <LinksUpToDate>false</LinksUpToDate>
  <CharactersWithSpaces>8301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2025-08-01T02:29:55Z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