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ascii="宋体" w:cs="宋体"/>
          <w:b/>
          <w:sz w:val="24"/>
        </w:rPr>
      </w:pPr>
      <w:r>
        <w:rPr>
          <w:rFonts w:hint="eastAsia" w:ascii="微软雅黑" w:hAnsi="微软雅黑" w:eastAsia="微软雅黑" w:cs="微软雅黑"/>
          <w:b/>
          <w:bCs/>
          <w:sz w:val="32"/>
          <w:szCs w:val="40"/>
          <w:lang w:eastAsia="zh-CN"/>
        </w:rPr>
        <w:t>工程运维中心能源集团光储超充一体化工程采购预制舱箱变项目公开询价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工程运维中心能源集团光储超充一体化工程采购预制舱箱变项目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462" w:type="dxa"/>
        <w:tblInd w:w="-1049" w:type="dxa"/>
        <w:shd w:val="clear" w:color="auto" w:fill="auto"/>
        <w:tblLayout w:type="fixed"/>
        <w:tblCellMar>
          <w:top w:w="0" w:type="dxa"/>
          <w:left w:w="0" w:type="dxa"/>
          <w:bottom w:w="0" w:type="dxa"/>
          <w:right w:w="0" w:type="dxa"/>
        </w:tblCellMar>
      </w:tblPr>
      <w:tblGrid>
        <w:gridCol w:w="662"/>
        <w:gridCol w:w="1224"/>
        <w:gridCol w:w="5950"/>
        <w:gridCol w:w="875"/>
        <w:gridCol w:w="825"/>
        <w:gridCol w:w="926"/>
      </w:tblGrid>
      <w:tr w14:paraId="284F55DE">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2C481">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D9BD">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8050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E184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2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42AB53B3">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2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BA8F12A">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光伏并网柜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left"/>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1、名称：光伏并网柜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2、规格：GGD-300kW，长*深*高1000*1000*2200，含电能质量在线检测装置（A类）、防孤岛装置、箱内电气元件及相关附件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7361B90">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电缆分支箱</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left"/>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1、名称：低压电缆分支箱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2、规格：一进三出，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36032762">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变压器</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left"/>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1、名称：变压器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2、规格型号：SCB14-1250/10  10±2X2.5%/0.4kV Dyn11,Ud=6% ，(含设备支架，带防护罩，防护等级为 IP40)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C72A915">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4</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高压进线隔离柜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left"/>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1、名称：高压进线隔离柜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2、规格型号：1AH1，SF6全绝缘环网柜，负荷开关12kV/630A 20kA/4s（二工位），长*宽370*750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3、含柜内母线、断路器、隔离开关、熔断器、互感器、避雷及接地、智能操控装置、带电显示器、除湿装置、消谐器、在线监测装置、线路保护装置、自动化、防火封堵、基础等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76F6BC7">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4AAB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92687">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高压计量柜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2943F">
            <w:pPr>
              <w:keepNext w:val="0"/>
              <w:keepLines w:val="0"/>
              <w:widowControl/>
              <w:suppressLineNumbers w:val="0"/>
              <w:jc w:val="left"/>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1、名称：高压计量柜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2、规格型号：1AH2，SF6全绝缘环网柜，计量互感器供电公司提供，长*宽800*850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3、含柜内母线、断路器、隔离开关、熔断器、互感器、避雷及接地、智能操控装置、带电显示器、除湿装置、消谐器、在线监测装置、线路保护装置、自动化、防火封堵、基础等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4A3337">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997F96">
            <w:pPr>
              <w:keepNext w:val="0"/>
              <w:keepLines w:val="0"/>
              <w:widowControl/>
              <w:suppressLineNumbers w:val="0"/>
              <w:jc w:val="center"/>
              <w:textAlignment w:val="center"/>
              <w:rPr>
                <w:rFonts w:hint="eastAsia" w:ascii="宋体" w:hAnsi="宋体" w:eastAsia="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7D3CD">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0E93ECE2">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E2A67">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6</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7C2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高压进线柜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DE66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1、名称：高压进线柜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2、规格型号：1AH3，SF6全绝缘环网柜，断路器12kV/630A 20kA/4s，长*宽420*750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3、含柜内母线、断路器、隔离开关、熔断器、互感器、避雷及接地、智能操控装置、带电显示器、除湿装置、消谐器、在线监测装置、线路保护装置、自动化、防火封堵、基础等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51275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DB37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B76FC9B">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34D8763E">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D999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7</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001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高压PT柜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8615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1、名称：高压PT柜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2、规格型号：1AH4，SF6全绝缘环网柜，负荷开关12kV/630A 20kA/4s（三工位），长*宽420*750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3、含柜内母线、断路器、隔离开关、熔断器、互感器、避雷及接地、智能操控装置、带电显示器、除湿装置、消谐器、在线监测装置、线路保护装置、自动化、防火封堵、基础等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769C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BF4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6AC90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2AA385D8">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7372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8</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51E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高压出线柜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8420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1、名称：高压出线柜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2、规格型号：1AH5，SF6全绝缘环网柜，断路器12kV/630A 20kA/4s，长*宽420*750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3、含柜内母线、断路器、隔离开关、熔断器、互感器、避雷及接地、智能操控装置、带电显示器、除湿装置、消谐器、在线监测装置、线路保护装置、自动化、防火封堵、基础等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2B953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9F7D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6B2018">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ED3D631">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5C836">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9</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28F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低压进线柜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33E0A">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1、名称：低压进线柜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2、规格型号：1AA1，MNS低压柜，框架断路器-3200A/3P，宽*深*高1000*1000*2200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3、含柜内母线、所有电器元器件、互感器、浪涌装置、仪表、防火封堵、基础等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42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3E68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9F6983">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0832AC10">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0809A">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10</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D6A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低压电容柜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8980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1、名称：低压电容柜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2、规格型号：1AA2，MNS低压柜，300kvar，共补：180kVar;分补：120kVar，宽*深*高1000*1000*2200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3、含柜内母线、所有电器元器件、互感器、浪涌装置、仪表、防火封堵、基础等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C3E3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C4DA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092562">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0F5AC7FB">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E46F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11</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6D7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低压有源滤波柜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AA628">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1、名称：低压有源滤波柜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2、规格型号：1AA3，MNS低压柜，APF400A，有源滤波:KP-APF-100  4只，宽*深*高1000*1000*2200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3、含柜内母线、所有电器元器件、互感器、浪涌装置、仪表、防火封堵、基础等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FE9A9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D82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E2EDA">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2EF6F3FE">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CBF28">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12</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12B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低压馈线柜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4EB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1、名称：低压馈线柜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2、规格型号：1AA4，MNS低压柜，框架断路器1600A/3P 2只，宽*深*高800*1000*2200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3、含柜内母线、所有电器元器件、互感器、浪涌装置、仪表、防火封堵、基础等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C51A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8EA6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C8FFD81">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4B872CDC">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90F9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13</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07B5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低压馈线柜</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6F30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1、名称：低压馈线柜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2、规格型号：1AA5，MNS低压柜，塑壳断路器100H 2只，250H 3只，630H 2只，宽*深*高600*1000*2200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3、含柜内母线、所有电器元器件、互感器、浪涌装置、仪表、防火封堵、基础等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74019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11A67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9CFA4B">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5E456332">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67B4B">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14</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4FD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直流屏</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D2AF0">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1、名称：直流屏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2、规格：DC220V/20AH 壁挂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3、含蓄电池等成套设备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61C1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FD08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E1F1CC">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75B2E73C">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1B261">
            <w:pPr>
              <w:keepNext w:val="0"/>
              <w:keepLines w:val="0"/>
              <w:widowControl/>
              <w:suppressLineNumbers w:val="0"/>
              <w:jc w:val="center"/>
              <w:textAlignment w:val="center"/>
              <w:rPr>
                <w:rFonts w:hint="eastAsia" w:ascii="宋体" w:hAnsi="宋体" w:cs="宋体"/>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15</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13C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连接铜排</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6ADE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1、名称：连接铜排</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2、规格：铜母线:TMY-4*（2*100*10）+PE（100*10）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D2777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E19E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BD3100">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15EE982D">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577A9">
            <w:pPr>
              <w:keepNext w:val="0"/>
              <w:keepLines w:val="0"/>
              <w:widowControl/>
              <w:suppressLineNumbers w:val="0"/>
              <w:jc w:val="center"/>
              <w:textAlignment w:val="center"/>
              <w:rPr>
                <w:rFonts w:hint="default" w:ascii="宋体" w:hAnsi="宋体" w:cs="宋体"/>
                <w:sz w:val="21"/>
                <w:szCs w:val="21"/>
                <w:u w:val="none"/>
                <w:lang w:val="en-US" w:eastAsia="zh-CN"/>
              </w:rPr>
            </w:pPr>
            <w:r>
              <w:rPr>
                <w:rFonts w:hint="eastAsia" w:ascii="宋体" w:hAnsi="宋体" w:cs="宋体"/>
                <w:sz w:val="21"/>
                <w:szCs w:val="21"/>
                <w:u w:val="none"/>
                <w:lang w:val="en-US" w:eastAsia="zh-CN"/>
              </w:rPr>
              <w:t>16</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3BF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软母线</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3CF5C">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1、名称：软连接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2、规格：铜母线:TMY-4*（2*100*10）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DF73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918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3F165A2">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22D505D3">
        <w:tblPrEx>
          <w:shd w:val="clear" w:color="auto" w:fill="auto"/>
          <w:tblCellMar>
            <w:top w:w="0" w:type="dxa"/>
            <w:left w:w="0" w:type="dxa"/>
            <w:bottom w:w="0" w:type="dxa"/>
            <w:right w:w="0" w:type="dxa"/>
          </w:tblCellMar>
        </w:tblPrEx>
        <w:trPr>
          <w:trHeight w:val="590"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749E3">
            <w:pPr>
              <w:keepNext w:val="0"/>
              <w:keepLines w:val="0"/>
              <w:widowControl/>
              <w:suppressLineNumbers w:val="0"/>
              <w:jc w:val="center"/>
              <w:textAlignment w:val="center"/>
              <w:rPr>
                <w:rFonts w:hint="default" w:ascii="宋体" w:hAnsi="宋体" w:cs="宋体"/>
                <w:sz w:val="21"/>
                <w:szCs w:val="21"/>
                <w:u w:val="none"/>
                <w:lang w:val="en-US" w:eastAsia="zh-CN"/>
              </w:rPr>
            </w:pPr>
            <w:r>
              <w:rPr>
                <w:rFonts w:hint="eastAsia" w:ascii="宋体" w:hAnsi="宋体" w:cs="宋体"/>
                <w:sz w:val="21"/>
                <w:szCs w:val="21"/>
                <w:u w:val="none"/>
                <w:lang w:val="en-US" w:eastAsia="zh-CN"/>
              </w:rPr>
              <w:t>17</w:t>
            </w:r>
          </w:p>
        </w:tc>
        <w:tc>
          <w:tcPr>
            <w:tcW w:w="1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501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预制舱</w:t>
            </w:r>
          </w:p>
        </w:tc>
        <w:tc>
          <w:tcPr>
            <w:tcW w:w="59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2CF2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1、名称：预制舱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2、规格：1.箱体尺寸：13米长*4.5米宽*4.2米高（内净高不低于3.6米），双开门尺寸2.5米宽*2.7米高,舱门要加防鼠挡板;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2.底座：20#a槽钢 3mm厚花纹钢板等焊接而成；底部设置8个吊轴起吊。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3.油漆：RAL7035，两个长面左/右上角喷涂业主提供的LOGO标志（如有需要请提供图样及颜色要求），丝印仅为示意,施工时请除去白底；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4.舱体外壳采用金属实厚1.8mm瓦楞板制作；地面铺放5mm厚度绝缘垫,配置干粉灭火器2套带专用箱子。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5.舱体采用5面保温。内装采用50mm岩棉保温，机房墙板 ，墙体厚度100-120mm。舱门安装“高压危险，禁止入内”标识牌；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6.屋面排水方式为坡顶自然散排。预制舱门均往外开，各扇门要加装活动防鼠挡板,用铝合金扁通4根(10cmx1）。排风扇及通风装置应设置保护网(10mmX10mm)，以防小动物进入；并设置防止雨、雪进入的措施。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7.舱内空调、照明走线方式为PVC管（暗敷）；设置5kW工业空调2个；轴流风机6个：排风2个，进风2个，SF6事故排风机2个；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8.其余配电箱、直流主机箱及电池箱、负控箱、SF6系统主机及配套风机箱和监测探头箱，插座、开关、风机等排线方式采用PVC管（暗敷）。</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9.室内吊顶采用集成吊顶，安装照明灯及工业级光电感烟火灾探测器工作电源AC220V，照明插座开关烟感等位置详见相关布置图示意。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舱内高压柜、低压柜、变压器柜及挂墙配电箱、SF6监测探头箱及风机等的柜/箱前设550mm宽暗敷线槽通道并相互间贯通，柜/箱前暗敷线槽通道与高压柜前侧、变压器柜的前右侧、低压进线柜及出线柜间的底座槽钢割矩形孔做二次线缆通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11.舱内配套引线:SF6监控探头及SF6风机分别引至SF6风机箱和主机箱，其余空调照明灯应急照明灯插座开关烟感(电源和信号)排风机等引线均至配电箱内(配电箱预留至少2根空预埋管现场引线用);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（含配电箱、相关管线、照明、应急照明、插座、防雷接地、安全器具、模拟图板、温控、风机、SF6报警装置、烟感、温湿度探测器、空调、除湿机、排水管、负控装置预留管线等，满足现场使用及设计要求）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4、其他：详见设计图纸</w:t>
            </w:r>
          </w:p>
        </w:tc>
        <w:tc>
          <w:tcPr>
            <w:tcW w:w="87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597D4A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E7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7A83A3">
            <w:pPr>
              <w:keepNext w:val="0"/>
              <w:keepLines w:val="0"/>
              <w:widowControl/>
              <w:suppressLineNumbers w:val="0"/>
              <w:jc w:val="center"/>
              <w:textAlignment w:val="center"/>
              <w:rPr>
                <w:rFonts w:hint="eastAsia" w:ascii="宋体" w:hAnsi="宋体" w:cs="宋体"/>
                <w:sz w:val="21"/>
                <w:szCs w:val="21"/>
                <w:u w:val="none"/>
                <w:lang w:val="en-US" w:eastAsia="zh-CN"/>
              </w:rPr>
            </w:pPr>
          </w:p>
        </w:tc>
      </w:tr>
      <w:tr w14:paraId="0132B3BA">
        <w:tblPrEx>
          <w:shd w:val="clear" w:color="auto" w:fill="auto"/>
          <w:tblCellMar>
            <w:top w:w="0" w:type="dxa"/>
            <w:left w:w="0" w:type="dxa"/>
            <w:bottom w:w="0" w:type="dxa"/>
            <w:right w:w="0" w:type="dxa"/>
          </w:tblCellMar>
        </w:tblPrEx>
        <w:trPr>
          <w:trHeight w:val="590" w:hRule="atLeast"/>
        </w:trPr>
        <w:tc>
          <w:tcPr>
            <w:tcW w:w="10462" w:type="dxa"/>
            <w:gridSpan w:val="6"/>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2076C53">
            <w:pPr>
              <w:keepNext w:val="0"/>
              <w:keepLines w:val="0"/>
              <w:widowControl/>
              <w:suppressLineNumbers w:val="0"/>
              <w:jc w:val="both"/>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断路器：常熟开关、上海人民（上联）、大全凯帆、伊顿辉能、帝森克罗德</w:t>
            </w:r>
          </w:p>
          <w:p w14:paraId="621CA7B1">
            <w:pPr>
              <w:keepNext w:val="0"/>
              <w:keepLines w:val="0"/>
              <w:widowControl/>
              <w:suppressLineNumbers w:val="0"/>
              <w:jc w:val="both"/>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互感器：大连一互、大连二互、大连北方、江苏靖江</w:t>
            </w:r>
          </w:p>
          <w:p w14:paraId="5E2B47E7">
            <w:pPr>
              <w:keepNext w:val="0"/>
              <w:keepLines w:val="0"/>
              <w:widowControl/>
              <w:suppressLineNumbers w:val="0"/>
              <w:jc w:val="both"/>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无功补偿装置（电容，电抗，可控硅）、SVG和有源滤波装置：南京凯多智能科技、艾格纳电气（南京）、厚纳华电气（上海）</w:t>
            </w:r>
          </w:p>
          <w:p w14:paraId="0A8A0241">
            <w:pPr>
              <w:keepNext w:val="0"/>
              <w:keepLines w:val="0"/>
              <w:widowControl/>
              <w:suppressLineNumbers w:val="0"/>
              <w:jc w:val="both"/>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备注：</w:t>
            </w:r>
          </w:p>
          <w:p w14:paraId="71FF2795">
            <w:pPr>
              <w:keepNext w:val="0"/>
              <w:keepLines w:val="0"/>
              <w:widowControl/>
              <w:suppressLineNumbers w:val="0"/>
              <w:jc w:val="both"/>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1.以上材料、设备在招标人提供的品牌或厂家范围内选择，如选择其他品牌必须不低于上述品牌及档次。</w:t>
            </w:r>
          </w:p>
          <w:p w14:paraId="4CC72862">
            <w:pPr>
              <w:keepNext w:val="0"/>
              <w:keepLines w:val="0"/>
              <w:widowControl/>
              <w:suppressLineNumbers w:val="0"/>
              <w:jc w:val="both"/>
              <w:textAlignment w:val="center"/>
              <w:rPr>
                <w:rFonts w:hint="eastAsia" w:ascii="宋体" w:hAnsi="宋体" w:cs="宋体"/>
                <w:sz w:val="21"/>
                <w:szCs w:val="21"/>
                <w:u w:val="none"/>
                <w:lang w:val="en-US" w:eastAsia="zh-CN"/>
              </w:rPr>
            </w:pPr>
            <w:r>
              <w:rPr>
                <w:rFonts w:hint="eastAsia" w:ascii="宋体" w:hAnsi="宋体" w:cs="宋体"/>
                <w:sz w:val="21"/>
                <w:szCs w:val="21"/>
                <w:u w:val="none"/>
                <w:lang w:val="en-US" w:eastAsia="zh-CN"/>
              </w:rPr>
              <w:t>2.投标人必须承诺所购买材料严格按照施工图纸、招标文件要求报价，图纸与工程量清单不同的按照工程量清单进行报价。同种材料尽量选用同一品牌。</w:t>
            </w: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14D20471">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30</w:t>
      </w:r>
      <w:r>
        <w:rPr>
          <w:rFonts w:hint="eastAsia" w:ascii="宋体" w:hAnsi="宋体" w:cs="宋体"/>
          <w:sz w:val="24"/>
          <w:highlight w:val="yellow"/>
        </w:rPr>
        <w:t>日前</w:t>
      </w:r>
      <w:r>
        <w:rPr>
          <w:rFonts w:hint="eastAsia" w:ascii="宋体" w:hAnsi="宋体" w:cs="宋体"/>
          <w:sz w:val="24"/>
          <w:highlight w:val="yellow"/>
          <w:lang w:val="en-US" w:eastAsia="zh-CN"/>
        </w:rPr>
        <w:t>完成供货</w:t>
      </w:r>
      <w:r>
        <w:rPr>
          <w:rFonts w:hint="eastAsia" w:ascii="宋体" w:hAnsi="宋体" w:cs="宋体"/>
          <w:sz w:val="24"/>
        </w:rPr>
        <w:t>。</w:t>
      </w:r>
    </w:p>
    <w:p w14:paraId="76C59BEF">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05E69FE7">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16FCCF41">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09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03EBDB9D">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25A3BA29">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700646.00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0F2D9CD3">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066EE8E">
      <w:pPr>
        <w:spacing w:line="360" w:lineRule="auto"/>
        <w:ind w:firstLine="480" w:firstLineChars="200"/>
        <w:jc w:val="left"/>
        <w:rPr>
          <w:rFonts w:hint="eastAsia" w:ascii="宋体" w:hAnsi="宋体" w:cs="宋体"/>
          <w:sz w:val="24"/>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4EBF3BA5">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05</w:t>
      </w:r>
      <w:bookmarkStart w:id="5" w:name="_GoBack"/>
      <w:bookmarkEnd w:id="5"/>
      <w:r>
        <w:rPr>
          <w:rFonts w:hint="eastAsia" w:ascii="宋体" w:hAnsi="宋体" w:cs="宋体"/>
          <w:sz w:val="24"/>
          <w:highlight w:val="none"/>
        </w:rPr>
        <w:t>日</w:t>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2572009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347EB5F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5ED0BDB2">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8、合同模板</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3C605B8D">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2734871"/>
      <w:bookmarkStart w:id="2" w:name="_Toc61871288"/>
      <w:bookmarkStart w:id="3" w:name="_Toc61877376"/>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4FCC40E">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w:t>
      </w:r>
      <w:r>
        <w:rPr>
          <w:rFonts w:hint="eastAsia" w:ascii="宋体" w:hAnsi="宋体" w:cs="宋体"/>
          <w:b/>
          <w:bCs/>
          <w:sz w:val="36"/>
          <w:szCs w:val="36"/>
          <w:highlight w:val="yellow"/>
          <w:lang w:val="en-US" w:eastAsia="zh-CN"/>
        </w:rPr>
        <w:t>元器件产品明细</w:t>
      </w:r>
      <w:r>
        <w:rPr>
          <w:rFonts w:hint="eastAsia" w:ascii="宋体" w:hAnsi="宋体" w:cs="宋体"/>
          <w:b/>
          <w:bCs/>
          <w:sz w:val="36"/>
          <w:szCs w:val="36"/>
          <w:lang w:val="en-US" w:eastAsia="zh-CN"/>
        </w:rPr>
        <w:t>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268DA22D">
      <w:pPr>
        <w:widowControl/>
        <w:jc w:val="both"/>
        <w:rPr>
          <w:rFonts w:hint="eastAsia" w:ascii="宋体" w:hAnsi="宋体" w:cs="宋体"/>
          <w:b/>
          <w:bCs/>
          <w:sz w:val="36"/>
          <w:szCs w:val="36"/>
          <w:lang w:val="en-US" w:eastAsia="zh-CN"/>
        </w:rPr>
      </w:pPr>
    </w:p>
    <w:p w14:paraId="5C27B3F0">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1094740</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6.2pt;height:30.7pt;width:19.05pt;z-index:251661312;v-text-anchor:middle;mso-width-relative:page;mso-height-relative:page;" fillcolor="#C00000" filled="t" stroked="t" coordsize="21600,21600" o:gfxdata="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KVfIDtcAAAALAQAADwAAAAAAAAABACAAAAAiAAAAZHJzL2Rvd25yZXYueG1sUEsBAhQA&#10;FAAAAAgAh07iQMvyPKeeAgAAMwUAAA4AAAAAAAAAAQAgAAAAJgEAAGRycy9lMm9Eb2MueG1sUEsF&#10;BgAAAAAGAAYAWQEAADYGA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3014345</wp:posOffset>
                </wp:positionH>
                <wp:positionV relativeFrom="paragraph">
                  <wp:posOffset>1534795</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7.35pt;margin-top:120.85pt;height:34.1pt;width:128.85pt;z-index:251659264;v-text-anchor:middle;mso-width-relative:page;mso-height-relative:page;" filled="f" stroked="t" coordsize="21600,21600" o:gfxdata="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PUDjGd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2927350"/>
            <wp:effectExtent l="0" t="0" r="6985" b="635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292735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2437765</wp:posOffset>
                </wp:positionH>
                <wp:positionV relativeFrom="paragraph">
                  <wp:posOffset>1074420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95pt;margin-top:84.6pt;height:35.45pt;width:21.15pt;z-index:251662336;v-text-anchor:middle;mso-width-relative:page;mso-height-relative:page;" fillcolor="#C00000" filled="t" stroked="t" coordsize="21600,21600" o:gfxdata="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LnSlDZAAAACwEAAA8AAAAAAAAAAQAgAAAAIgAAAGRycy9kb3ducmV2LnhtbFBLAQIU&#10;ABQAAAAIAIdO4kCcsfUWnQIAADMFAAAOAAAAAAAAAAEAIAAAACgBAABkcnMvZTJvRG9jLnhtbFBL&#10;BQYAAAAABgAGAFkBAAA3Bg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1942465</wp:posOffset>
                </wp:positionH>
                <wp:positionV relativeFrom="paragraph">
                  <wp:posOffset>1616075</wp:posOffset>
                </wp:positionV>
                <wp:extent cx="1186815" cy="353695"/>
                <wp:effectExtent l="13970" t="13970" r="18415" b="32385"/>
                <wp:wrapNone/>
                <wp:docPr id="6" name="矩形 6"/>
                <wp:cNvGraphicFramePr/>
                <a:graphic xmlns:a="http://schemas.openxmlformats.org/drawingml/2006/main">
                  <a:graphicData uri="http://schemas.microsoft.com/office/word/2010/wordprocessingShape">
                    <wps:wsp>
                      <wps:cNvSpPr/>
                      <wps:spPr>
                        <a:xfrm>
                          <a:off x="3559810" y="8270875"/>
                          <a:ext cx="1186815" cy="353695"/>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5pt;margin-top:127.25pt;height:27.85pt;width:93.45pt;z-index:251660288;v-text-anchor:middle;mso-width-relative:page;mso-height-relative:page;" filled="f" stroked="t" coordsize="21600,21600" o:gfxdata="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qlx862gAAAAsBAAAPAAAA&#10;AAAAAAEAIAAAACIAAABkcnMvZG93bnJldi54bWxQSwECFAAUAAAACACHTuJAsR7NyYUCAADtBAAA&#10;DgAAAAAAAAABACAAAAApAQAAZHJzL2Uyb0RvYy54bWxQSwUGAAAAAAYABgBZAQAAIAY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793365"/>
            <wp:effectExtent l="0" t="0" r="1905" b="698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793365"/>
                    </a:xfrm>
                    <a:prstGeom prst="rect">
                      <a:avLst/>
                    </a:prstGeom>
                  </pic:spPr>
                </pic:pic>
              </a:graphicData>
            </a:graphic>
          </wp:inline>
        </w:drawing>
      </w:r>
    </w:p>
    <w:p w14:paraId="77FB1024">
      <w:pPr>
        <w:numPr>
          <w:ilvl w:val="0"/>
          <w:numId w:val="0"/>
        </w:numPr>
        <w:spacing w:line="360" w:lineRule="auto"/>
        <w:ind w:right="560" w:rightChars="0"/>
        <w:jc w:val="both"/>
        <w:rPr>
          <w:rFonts w:hint="eastAsia"/>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0F8FF805">
      <w:pPr>
        <w:spacing w:line="360" w:lineRule="auto"/>
        <w:ind w:right="560"/>
        <w:jc w:val="both"/>
        <w:rPr>
          <w:rFonts w:hint="eastAsia" w:ascii="宋体" w:hAnsi="宋体" w:cs="宋体"/>
          <w:sz w:val="24"/>
        </w:rPr>
      </w:pPr>
    </w:p>
    <w:p w14:paraId="64DE2720">
      <w:pPr>
        <w:spacing w:line="360" w:lineRule="auto"/>
        <w:ind w:right="560"/>
        <w:jc w:val="both"/>
        <w:rPr>
          <w:rFonts w:hint="eastAsia" w:ascii="宋体" w:hAnsi="宋体" w:cs="宋体"/>
          <w:sz w:val="24"/>
        </w:rPr>
      </w:pPr>
    </w:p>
    <w:p w14:paraId="479F69CC">
      <w:pPr>
        <w:spacing w:line="360" w:lineRule="auto"/>
        <w:ind w:right="560"/>
        <w:jc w:val="both"/>
        <w:rPr>
          <w:rFonts w:hint="eastAsia" w:ascii="宋体" w:hAnsi="宋体" w:cs="宋体"/>
          <w:sz w:val="24"/>
        </w:rPr>
      </w:pPr>
    </w:p>
    <w:p w14:paraId="526EFF4C">
      <w:pPr>
        <w:spacing w:line="360" w:lineRule="auto"/>
        <w:ind w:right="560"/>
        <w:jc w:val="both"/>
        <w:rPr>
          <w:rFonts w:hint="eastAsia" w:ascii="宋体" w:hAnsi="宋体" w:cs="宋体"/>
          <w:sz w:val="24"/>
        </w:rPr>
      </w:pPr>
    </w:p>
    <w:p w14:paraId="4CF09782">
      <w:pPr>
        <w:spacing w:line="360" w:lineRule="auto"/>
        <w:ind w:right="560"/>
        <w:jc w:val="both"/>
        <w:rPr>
          <w:rFonts w:hint="eastAsia" w:ascii="宋体" w:hAnsi="宋体" w:cs="宋体"/>
          <w:sz w:val="24"/>
        </w:rPr>
      </w:pPr>
    </w:p>
    <w:p w14:paraId="04152641">
      <w:pPr>
        <w:spacing w:line="360" w:lineRule="auto"/>
        <w:ind w:right="560"/>
        <w:jc w:val="both"/>
        <w:rPr>
          <w:rFonts w:hint="eastAsia" w:ascii="宋体" w:hAnsi="宋体" w:cs="宋体"/>
          <w:sz w:val="24"/>
        </w:rPr>
      </w:pPr>
    </w:p>
    <w:p w14:paraId="5D40BBD0">
      <w:pPr>
        <w:spacing w:line="360" w:lineRule="auto"/>
        <w:ind w:right="560"/>
        <w:jc w:val="both"/>
        <w:rPr>
          <w:rFonts w:hint="eastAsia" w:ascii="宋体" w:hAnsi="宋体" w:cs="宋体"/>
          <w:sz w:val="24"/>
        </w:rPr>
      </w:pPr>
    </w:p>
    <w:p w14:paraId="0ED1C441">
      <w:pPr>
        <w:spacing w:line="360" w:lineRule="auto"/>
        <w:ind w:right="560"/>
        <w:jc w:val="both"/>
        <w:rPr>
          <w:rFonts w:hint="eastAsia" w:ascii="宋体" w:hAnsi="宋体" w:cs="宋体"/>
          <w:sz w:val="24"/>
        </w:rPr>
      </w:pPr>
    </w:p>
    <w:p w14:paraId="229143AA">
      <w:pPr>
        <w:spacing w:line="360" w:lineRule="auto"/>
        <w:ind w:right="560"/>
        <w:jc w:val="both"/>
        <w:rPr>
          <w:rFonts w:hint="eastAsia" w:ascii="宋体" w:hAnsi="宋体" w:cs="宋体"/>
          <w:sz w:val="24"/>
        </w:rPr>
      </w:pPr>
    </w:p>
    <w:p w14:paraId="5AD5152E">
      <w:pPr>
        <w:spacing w:line="360" w:lineRule="auto"/>
        <w:ind w:right="560"/>
        <w:jc w:val="both"/>
        <w:rPr>
          <w:rFonts w:hint="eastAsia" w:ascii="宋体" w:hAnsi="宋体" w:cs="宋体"/>
          <w:sz w:val="24"/>
        </w:rPr>
      </w:pPr>
    </w:p>
    <w:p w14:paraId="28BBFAF3">
      <w:pPr>
        <w:spacing w:line="360" w:lineRule="auto"/>
        <w:ind w:right="560"/>
        <w:jc w:val="both"/>
        <w:rPr>
          <w:rFonts w:hint="eastAsia" w:ascii="宋体" w:hAnsi="宋体" w:cs="宋体"/>
          <w:sz w:val="24"/>
        </w:rPr>
      </w:pPr>
    </w:p>
    <w:p w14:paraId="596D1A77">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val="en-US" w:eastAsia="zh-CN"/>
        </w:rPr>
        <w:t>合同模板（具体格式以实际签订为准）</w:t>
      </w:r>
    </w:p>
    <w:p w14:paraId="57D329EC">
      <w:pPr>
        <w:jc w:val="center"/>
        <w:rPr>
          <w:b/>
          <w:bCs/>
          <w:sz w:val="44"/>
          <w:szCs w:val="44"/>
        </w:rPr>
      </w:pPr>
      <w:r>
        <w:rPr>
          <w:rFonts w:hint="eastAsia"/>
          <w:b/>
          <w:bCs/>
          <w:sz w:val="44"/>
          <w:szCs w:val="44"/>
        </w:rPr>
        <w:t>产品买卖合同</w:t>
      </w:r>
    </w:p>
    <w:p w14:paraId="7E64E1E5">
      <w:pPr>
        <w:jc w:val="left"/>
        <w:rPr>
          <w:rFonts w:ascii="仿宋_GB2312" w:hAnsi="仿宋_GB2312" w:eastAsia="仿宋_GB2312" w:cs="仿宋_GB2312"/>
          <w:sz w:val="24"/>
        </w:rPr>
      </w:pPr>
    </w:p>
    <w:p w14:paraId="0D519F9B">
      <w:pPr>
        <w:jc w:val="left"/>
        <w:rPr>
          <w:rFonts w:hint="eastAsia" w:ascii="仿宋_GB2312" w:hAnsi="仿宋_GB2312" w:eastAsia="仿宋_GB2312" w:cs="仿宋_GB2312"/>
          <w:b/>
          <w:sz w:val="24"/>
          <w:lang w:eastAsia="zh-CN"/>
        </w:rPr>
      </w:pPr>
      <w:r>
        <w:rPr>
          <w:rFonts w:hint="eastAsia" w:ascii="仿宋_GB2312" w:hAnsi="仿宋_GB2312" w:eastAsia="仿宋_GB2312" w:cs="仿宋_GB2312"/>
          <w:b/>
          <w:sz w:val="24"/>
          <w:lang w:eastAsia="zh-CN"/>
        </w:rPr>
        <w:t>卖方</w:t>
      </w:r>
      <w:r>
        <w:rPr>
          <w:rFonts w:hint="eastAsia" w:ascii="仿宋_GB2312" w:hAnsi="仿宋_GB2312" w:eastAsia="仿宋_GB2312" w:cs="仿宋_GB2312"/>
          <w:b/>
          <w:sz w:val="24"/>
        </w:rPr>
        <w:t>（全称）：</w:t>
      </w:r>
      <w:r>
        <w:rPr>
          <w:rFonts w:hint="eastAsia" w:ascii="仿宋_GB2312" w:hAnsi="仿宋_GB2312" w:eastAsia="仿宋_GB2312" w:cs="仿宋_GB2312"/>
          <w:b/>
          <w:sz w:val="24"/>
          <w:lang w:val="en-US" w:eastAsia="zh-CN"/>
        </w:rPr>
        <w:t xml:space="preserve"> </w:t>
      </w:r>
    </w:p>
    <w:p w14:paraId="5ACDC42E">
      <w:pPr>
        <w:jc w:val="left"/>
        <w:rPr>
          <w:rFonts w:ascii="仿宋_GB2312" w:hAnsi="仿宋_GB2312" w:eastAsia="仿宋_GB2312" w:cs="仿宋_GB2312"/>
          <w:b/>
          <w:sz w:val="24"/>
        </w:rPr>
      </w:pPr>
      <w:r>
        <w:rPr>
          <w:rFonts w:hint="eastAsia" w:ascii="仿宋_GB2312" w:hAnsi="仿宋_GB2312" w:eastAsia="仿宋_GB2312" w:cs="仿宋_GB2312"/>
          <w:b/>
          <w:sz w:val="24"/>
          <w:lang w:eastAsia="zh-CN"/>
        </w:rPr>
        <w:t>买方</w:t>
      </w:r>
      <w:r>
        <w:rPr>
          <w:rFonts w:hint="eastAsia" w:ascii="仿宋_GB2312" w:hAnsi="仿宋_GB2312" w:eastAsia="仿宋_GB2312" w:cs="仿宋_GB2312"/>
          <w:b/>
          <w:sz w:val="24"/>
        </w:rPr>
        <w:t xml:space="preserve">（全称）：连云港市工业投资集团有限公司 </w:t>
      </w:r>
    </w:p>
    <w:p w14:paraId="097E235D">
      <w:pPr>
        <w:jc w:val="left"/>
        <w:rPr>
          <w:rFonts w:ascii="仿宋_GB2312" w:hAnsi="仿宋_GB2312" w:eastAsia="仿宋_GB2312" w:cs="仿宋_GB2312"/>
          <w:sz w:val="24"/>
        </w:rPr>
      </w:pPr>
      <w:r>
        <w:rPr>
          <w:rFonts w:hint="eastAsia" w:ascii="仿宋_GB2312" w:hAnsi="仿宋_GB2312" w:eastAsia="仿宋_GB2312" w:cs="仿宋_GB2312"/>
          <w:sz w:val="24"/>
        </w:rPr>
        <w:t>签订地点：连云港市</w:t>
      </w:r>
      <w:r>
        <w:rPr>
          <w:rFonts w:hint="eastAsia" w:ascii="仿宋_GB2312" w:hAnsi="仿宋_GB2312" w:eastAsia="仿宋_GB2312" w:cs="仿宋_GB2312"/>
          <w:sz w:val="24"/>
          <w:lang w:eastAsia="zh-CN"/>
        </w:rPr>
        <w:t>海州</w:t>
      </w:r>
      <w:r>
        <w:rPr>
          <w:rFonts w:hint="eastAsia" w:ascii="仿宋_GB2312" w:hAnsi="仿宋_GB2312" w:eastAsia="仿宋_GB2312" w:cs="仿宋_GB2312"/>
          <w:sz w:val="24"/>
        </w:rPr>
        <w:t>区                签订时间：</w:t>
      </w:r>
      <w:r>
        <w:rPr>
          <w:rFonts w:hint="eastAsia" w:ascii="仿宋_GB2312" w:hAnsi="仿宋_GB2312" w:eastAsia="仿宋_GB2312" w:cs="仿宋_GB2312"/>
          <w:sz w:val="24"/>
          <w:lang w:val="en-US" w:eastAsia="zh-CN"/>
        </w:rPr>
        <w:t>2025</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14:paraId="4BBA7929">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工程名称：</w:t>
      </w:r>
      <w:r>
        <w:rPr>
          <w:rFonts w:hint="eastAsia" w:ascii="仿宋_GB2312" w:hAnsi="仿宋_GB2312" w:eastAsia="仿宋_GB2312" w:cs="仿宋_GB2312"/>
          <w:sz w:val="24"/>
          <w:lang w:val="en-US" w:eastAsia="zh-CN"/>
        </w:rPr>
        <w:t xml:space="preserve"> </w:t>
      </w:r>
    </w:p>
    <w:p w14:paraId="45BD094B">
      <w:pPr>
        <w:numPr>
          <w:ilvl w:val="0"/>
          <w:numId w:val="4"/>
        </w:numPr>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产品名称、品牌商标、规格型号、数量、金额</w:t>
      </w:r>
    </w:p>
    <w:tbl>
      <w:tblPr>
        <w:tblStyle w:val="6"/>
        <w:tblW w:w="9256" w:type="dxa"/>
        <w:tblInd w:w="-4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925"/>
        <w:gridCol w:w="2025"/>
        <w:gridCol w:w="1412"/>
        <w:gridCol w:w="813"/>
        <w:gridCol w:w="1175"/>
        <w:gridCol w:w="1265"/>
        <w:gridCol w:w="710"/>
      </w:tblGrid>
      <w:tr w14:paraId="04C6B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 w:hRule="atLeast"/>
        </w:trPr>
        <w:tc>
          <w:tcPr>
            <w:tcW w:w="931" w:type="dxa"/>
            <w:tcBorders>
              <w:bottom w:val="single" w:color="auto" w:sz="4" w:space="0"/>
            </w:tcBorders>
            <w:shd w:val="clear" w:color="auto" w:fill="auto"/>
            <w:vAlign w:val="center"/>
          </w:tcPr>
          <w:p w14:paraId="5B4313A4">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序号</w:t>
            </w:r>
          </w:p>
        </w:tc>
        <w:tc>
          <w:tcPr>
            <w:tcW w:w="925" w:type="dxa"/>
            <w:tcBorders>
              <w:bottom w:val="single" w:color="auto" w:sz="4" w:space="0"/>
            </w:tcBorders>
            <w:shd w:val="clear" w:color="auto" w:fill="auto"/>
            <w:vAlign w:val="center"/>
          </w:tcPr>
          <w:p w14:paraId="63A22F72">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产品名称</w:t>
            </w:r>
          </w:p>
        </w:tc>
        <w:tc>
          <w:tcPr>
            <w:tcW w:w="2025" w:type="dxa"/>
            <w:tcBorders>
              <w:bottom w:val="single" w:color="auto" w:sz="4" w:space="0"/>
            </w:tcBorders>
            <w:shd w:val="clear" w:color="auto" w:fill="auto"/>
            <w:vAlign w:val="center"/>
          </w:tcPr>
          <w:p w14:paraId="4451D137">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规格型号</w:t>
            </w:r>
          </w:p>
        </w:tc>
        <w:tc>
          <w:tcPr>
            <w:tcW w:w="1412" w:type="dxa"/>
            <w:tcBorders>
              <w:bottom w:val="single" w:color="auto" w:sz="4" w:space="0"/>
            </w:tcBorders>
            <w:shd w:val="clear" w:color="auto" w:fill="auto"/>
            <w:vAlign w:val="center"/>
          </w:tcPr>
          <w:p w14:paraId="10120609">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单位</w:t>
            </w:r>
          </w:p>
        </w:tc>
        <w:tc>
          <w:tcPr>
            <w:tcW w:w="813" w:type="dxa"/>
            <w:shd w:val="clear" w:color="auto" w:fill="auto"/>
            <w:vAlign w:val="center"/>
          </w:tcPr>
          <w:p w14:paraId="089B7240">
            <w:pPr>
              <w:pStyle w:val="4"/>
              <w:widowControl/>
              <w:kinsoku w:val="0"/>
              <w:overflowPunct w:val="0"/>
              <w:autoSpaceDE w:val="0"/>
              <w:autoSpaceDN w:val="0"/>
              <w:jc w:val="center"/>
              <w:rPr>
                <w:rFonts w:ascii="仿宋_GB2312" w:hAnsi="宋体" w:eastAsia="仿宋_GB2312" w:cs="宋体"/>
                <w:sz w:val="28"/>
                <w:szCs w:val="28"/>
              </w:rPr>
            </w:pPr>
            <w:r>
              <w:rPr>
                <w:rFonts w:hint="eastAsia" w:ascii="仿宋_GB2312" w:hAnsi="宋体" w:eastAsia="仿宋_GB2312" w:cs="宋体"/>
                <w:sz w:val="28"/>
                <w:szCs w:val="28"/>
              </w:rPr>
              <w:t>数量</w:t>
            </w:r>
          </w:p>
        </w:tc>
        <w:tc>
          <w:tcPr>
            <w:tcW w:w="1175" w:type="dxa"/>
            <w:shd w:val="clear" w:color="auto" w:fill="auto"/>
            <w:vAlign w:val="center"/>
          </w:tcPr>
          <w:p w14:paraId="1B35A4A8">
            <w:pPr>
              <w:jc w:val="center"/>
              <w:rPr>
                <w:rFonts w:hint="eastAsia" w:ascii="宋体" w:hAnsi="宋体" w:eastAsia="仿宋" w:cs="宋体"/>
                <w:i w:val="0"/>
                <w:color w:val="000000"/>
                <w:sz w:val="22"/>
                <w:szCs w:val="22"/>
                <w:u w:val="none"/>
                <w:lang w:val="en-US" w:eastAsia="zh-CN"/>
              </w:rPr>
            </w:pPr>
            <w:r>
              <w:rPr>
                <w:rFonts w:hint="eastAsia" w:ascii="仿宋" w:hAnsi="仿宋" w:eastAsia="仿宋" w:cs="仿宋"/>
                <w:i w:val="0"/>
                <w:color w:val="000000"/>
                <w:sz w:val="28"/>
                <w:szCs w:val="28"/>
                <w:u w:val="none"/>
                <w:lang w:eastAsia="zh-CN"/>
              </w:rPr>
              <w:t>单价（元）</w:t>
            </w:r>
          </w:p>
        </w:tc>
        <w:tc>
          <w:tcPr>
            <w:tcW w:w="1265" w:type="dxa"/>
            <w:shd w:val="clear" w:color="auto" w:fill="auto"/>
            <w:vAlign w:val="center"/>
          </w:tcPr>
          <w:p w14:paraId="35BB3853">
            <w:pPr>
              <w:jc w:val="center"/>
              <w:rPr>
                <w:rFonts w:hint="eastAsia" w:ascii="宋体" w:hAnsi="宋体" w:eastAsia="宋体" w:cs="宋体"/>
                <w:i w:val="0"/>
                <w:color w:val="000000"/>
                <w:sz w:val="22"/>
                <w:szCs w:val="22"/>
                <w:u w:val="none"/>
                <w:lang w:eastAsia="zh-CN"/>
              </w:rPr>
            </w:pPr>
            <w:r>
              <w:rPr>
                <w:rFonts w:hint="eastAsia" w:ascii="仿宋" w:hAnsi="仿宋" w:eastAsia="仿宋" w:cs="仿宋"/>
                <w:i w:val="0"/>
                <w:color w:val="000000"/>
                <w:sz w:val="28"/>
                <w:szCs w:val="28"/>
                <w:u w:val="none"/>
                <w:lang w:eastAsia="zh-CN"/>
              </w:rPr>
              <w:t>金额（元）</w:t>
            </w:r>
          </w:p>
        </w:tc>
        <w:tc>
          <w:tcPr>
            <w:tcW w:w="710" w:type="dxa"/>
            <w:shd w:val="clear" w:color="auto" w:fill="auto"/>
            <w:vAlign w:val="center"/>
          </w:tcPr>
          <w:p w14:paraId="71B2BB57">
            <w:pPr>
              <w:jc w:val="center"/>
              <w:rPr>
                <w:rFonts w:hint="eastAsia" w:ascii="宋体" w:hAnsi="宋体" w:eastAsia="宋体" w:cs="宋体"/>
                <w:i w:val="0"/>
                <w:color w:val="000000"/>
                <w:kern w:val="2"/>
                <w:sz w:val="22"/>
                <w:szCs w:val="22"/>
                <w:u w:val="none"/>
                <w:lang w:val="en-US" w:eastAsia="zh-CN" w:bidi="ar-SA"/>
              </w:rPr>
            </w:pPr>
            <w:r>
              <w:rPr>
                <w:rFonts w:hint="eastAsia" w:ascii="仿宋" w:hAnsi="仿宋" w:eastAsia="仿宋" w:cs="仿宋"/>
                <w:i w:val="0"/>
                <w:color w:val="000000"/>
                <w:sz w:val="28"/>
                <w:szCs w:val="28"/>
                <w:u w:val="none"/>
              </w:rPr>
              <w:t>备注</w:t>
            </w:r>
          </w:p>
        </w:tc>
      </w:tr>
      <w:tr w14:paraId="051F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5DDFC594">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2F976EAE">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43FAF36">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2C98A1">
            <w:pPr>
              <w:keepNext w:val="0"/>
              <w:keepLines w:val="0"/>
              <w:widowControl/>
              <w:suppressLineNumbers w:val="0"/>
              <w:jc w:val="center"/>
              <w:textAlignment w:val="center"/>
              <w:rPr>
                <w:rFonts w:hint="eastAsia" w:ascii="宋体" w:hAnsi="宋体" w:eastAsia="宋体" w:cs="宋体"/>
                <w:sz w:val="21"/>
                <w:szCs w:val="21"/>
                <w:lang w:val="en-US" w:eastAsia="zh-CN"/>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0C6C6B85">
            <w:pPr>
              <w:keepNext w:val="0"/>
              <w:keepLines w:val="0"/>
              <w:widowControl/>
              <w:suppressLineNumbers w:val="0"/>
              <w:jc w:val="center"/>
              <w:textAlignment w:val="center"/>
              <w:rPr>
                <w:rFonts w:hint="default" w:ascii="宋体" w:hAnsi="宋体" w:eastAsia="宋体" w:cs="宋体"/>
                <w:sz w:val="21"/>
                <w:szCs w:val="21"/>
                <w:lang w:val="en-US" w:eastAsia="zh-CN"/>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C20433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569480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7B556F66">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08F3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007180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ED000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52790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CE90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477B78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37780D5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447C1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71F048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7795A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372E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810CA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34AB4B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F2C7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1B4667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75AA314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D619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8BA5F3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6311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8" w:hRule="atLeast"/>
        </w:trPr>
        <w:tc>
          <w:tcPr>
            <w:tcW w:w="931" w:type="dxa"/>
            <w:tcBorders>
              <w:top w:val="single" w:color="auto" w:sz="4" w:space="0"/>
              <w:left w:val="single" w:color="auto" w:sz="4" w:space="0"/>
              <w:bottom w:val="single" w:color="auto" w:sz="4" w:space="0"/>
              <w:right w:val="single" w:color="auto" w:sz="4" w:space="0"/>
            </w:tcBorders>
            <w:shd w:val="clear" w:color="auto" w:fill="auto"/>
            <w:vAlign w:val="center"/>
          </w:tcPr>
          <w:p w14:paraId="6399ECD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25" w:type="dxa"/>
            <w:tcBorders>
              <w:top w:val="single" w:color="auto" w:sz="4" w:space="0"/>
              <w:left w:val="single" w:color="auto" w:sz="4" w:space="0"/>
              <w:bottom w:val="single" w:color="auto" w:sz="4" w:space="0"/>
              <w:right w:val="single" w:color="auto" w:sz="4" w:space="0"/>
            </w:tcBorders>
            <w:shd w:val="clear" w:color="auto" w:fill="auto"/>
            <w:vAlign w:val="center"/>
          </w:tcPr>
          <w:p w14:paraId="61087B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25" w:type="dxa"/>
            <w:tcBorders>
              <w:top w:val="single" w:color="auto" w:sz="4" w:space="0"/>
              <w:left w:val="single" w:color="auto" w:sz="4" w:space="0"/>
              <w:bottom w:val="single" w:color="auto" w:sz="4" w:space="0"/>
              <w:right w:val="single" w:color="auto" w:sz="4" w:space="0"/>
            </w:tcBorders>
            <w:shd w:val="clear" w:color="auto" w:fill="auto"/>
            <w:vAlign w:val="center"/>
          </w:tcPr>
          <w:p w14:paraId="68626A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7EC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813" w:type="dxa"/>
            <w:tcBorders>
              <w:top w:val="single" w:color="000000" w:sz="4" w:space="0"/>
              <w:left w:val="single" w:color="auto" w:sz="4" w:space="0"/>
              <w:bottom w:val="single" w:color="000000" w:sz="4" w:space="0"/>
              <w:right w:val="single" w:color="auto" w:sz="4" w:space="0"/>
            </w:tcBorders>
            <w:shd w:val="clear" w:color="auto" w:fill="auto"/>
            <w:vAlign w:val="center"/>
          </w:tcPr>
          <w:p w14:paraId="28EA5D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75" w:type="dxa"/>
            <w:tcBorders>
              <w:top w:val="single" w:color="auto" w:sz="4" w:space="0"/>
              <w:left w:val="single" w:color="auto" w:sz="4" w:space="0"/>
              <w:bottom w:val="single" w:color="auto" w:sz="4" w:space="0"/>
              <w:right w:val="single" w:color="auto" w:sz="4" w:space="0"/>
            </w:tcBorders>
            <w:shd w:val="clear" w:color="auto" w:fill="auto"/>
            <w:vAlign w:val="center"/>
          </w:tcPr>
          <w:p w14:paraId="1E36907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1265" w:type="dxa"/>
            <w:tcBorders>
              <w:top w:val="single" w:color="auto" w:sz="4" w:space="0"/>
              <w:left w:val="single" w:color="auto" w:sz="4" w:space="0"/>
              <w:bottom w:val="single" w:color="auto" w:sz="4" w:space="0"/>
              <w:right w:val="single" w:color="auto" w:sz="4" w:space="0"/>
            </w:tcBorders>
            <w:shd w:val="clear" w:color="auto" w:fill="auto"/>
            <w:vAlign w:val="center"/>
          </w:tcPr>
          <w:p w14:paraId="7F4988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0F19B731">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r w14:paraId="4765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3" w:hRule="atLeast"/>
        </w:trPr>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EFB6">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171F0">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合计</w:t>
            </w:r>
          </w:p>
        </w:tc>
        <w:tc>
          <w:tcPr>
            <w:tcW w:w="54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B5B31C">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大写：人民币（</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w:t>
            </w:r>
          </w:p>
        </w:tc>
        <w:tc>
          <w:tcPr>
            <w:tcW w:w="1265" w:type="dxa"/>
            <w:tcBorders>
              <w:top w:val="single" w:color="000000" w:sz="4" w:space="0"/>
              <w:left w:val="single" w:color="000000" w:sz="4" w:space="0"/>
              <w:bottom w:val="single" w:color="000000" w:sz="4" w:space="0"/>
              <w:right w:val="single" w:color="auto" w:sz="4" w:space="0"/>
            </w:tcBorders>
            <w:shd w:val="clear" w:color="auto" w:fill="auto"/>
            <w:vAlign w:val="center"/>
          </w:tcPr>
          <w:p w14:paraId="4E31220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p>
        </w:tc>
        <w:tc>
          <w:tcPr>
            <w:tcW w:w="710" w:type="dxa"/>
            <w:tcBorders>
              <w:top w:val="single" w:color="auto" w:sz="4" w:space="0"/>
              <w:left w:val="single" w:color="auto" w:sz="4" w:space="0"/>
              <w:bottom w:val="single" w:color="auto" w:sz="4" w:space="0"/>
              <w:right w:val="single" w:color="auto" w:sz="4" w:space="0"/>
            </w:tcBorders>
            <w:shd w:val="clear" w:color="auto" w:fill="auto"/>
            <w:vAlign w:val="center"/>
          </w:tcPr>
          <w:p w14:paraId="4554882F">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r>
    </w:tbl>
    <w:p w14:paraId="725A57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此合同为固定单价合同，按实际安装供货数量进行调整，结算以现场实际测量数量依据，按中标的单价不变。</w:t>
      </w:r>
    </w:p>
    <w:p w14:paraId="4B91F658">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同总价包括货物、随机必备品、随机配件、随机工具、包装费、技术资料（含软件资料）和技术配合指导培训、技术服务和培训费、运输及保险费用、增值税（13%）及其他相关税费等费用（如果国家政策有变动，依据国家最新政策变动）。</w:t>
      </w:r>
    </w:p>
    <w:p w14:paraId="3446E0A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第二条　质量要求、卖方对质量负责的条件：</w:t>
      </w:r>
      <w:r>
        <w:rPr>
          <w:rFonts w:hint="eastAsia" w:ascii="仿宋_GB2312" w:hAnsi="仿宋_GB2312" w:eastAsia="仿宋_GB2312" w:cs="仿宋_GB2312"/>
          <w:sz w:val="24"/>
        </w:rPr>
        <w:t>根据国家关于标的物质量的最新标准和招标文件作为负责条件，期限1年。如国家法律法规对标的物的保质期限有明确规定的，从其规定，标的物质量负责期限为1年的条款不再适用。</w:t>
      </w:r>
    </w:p>
    <w:p w14:paraId="7670586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第三条　产品交付期限：</w:t>
      </w:r>
      <w:r>
        <w:rPr>
          <w:rFonts w:hint="eastAsia" w:ascii="仿宋_GB2312" w:hAnsi="仿宋_GB2312" w:eastAsia="仿宋_GB2312" w:cs="仿宋_GB2312"/>
          <w:sz w:val="24"/>
        </w:rPr>
        <w:t>双方以书面、数据电文等形式有约定的，依据约定；没有约定的，合同签订后20天内。</w:t>
      </w:r>
    </w:p>
    <w:p w14:paraId="70F00A2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第四条　运输方式及到达站（港）和费用负责：</w:t>
      </w:r>
      <w:r>
        <w:rPr>
          <w:rFonts w:hint="eastAsia" w:ascii="仿宋_GB2312" w:hAnsi="仿宋_GB2312" w:eastAsia="仿宋_GB2312" w:cs="仿宋_GB2312"/>
          <w:sz w:val="24"/>
        </w:rPr>
        <w:t xml:space="preserve">汽运，运费及货物运输风险由卖方承担。 </w:t>
      </w:r>
    </w:p>
    <w:p w14:paraId="5D10ED19">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第五条　合理损耗标准及计算方法：</w:t>
      </w:r>
      <w:r>
        <w:rPr>
          <w:rFonts w:hint="eastAsia" w:ascii="仿宋_GB2312" w:hAnsi="仿宋_GB2312" w:eastAsia="仿宋_GB2312" w:cs="仿宋_GB2312"/>
          <w:sz w:val="24"/>
        </w:rPr>
        <w:t>无。</w:t>
      </w:r>
    </w:p>
    <w:p w14:paraId="50E4275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第六条　包装标准、包装物的供应与回收：</w:t>
      </w:r>
      <w:r>
        <w:rPr>
          <w:rFonts w:hint="eastAsia" w:ascii="仿宋_GB2312" w:hAnsi="仿宋_GB2312" w:eastAsia="仿宋_GB2312" w:cs="仿宋_GB2312"/>
          <w:sz w:val="24"/>
        </w:rPr>
        <w:t>货物的包装符合国家或行业标准，没有国家或行业标准的，应符合货物运输和保存的一般标准；包装物需要回收的，卖方自行回收。</w:t>
      </w:r>
    </w:p>
    <w:p w14:paraId="04C53A40">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第七条　随机的必备品、配件：</w:t>
      </w:r>
      <w:r>
        <w:rPr>
          <w:rFonts w:hint="eastAsia" w:ascii="仿宋_GB2312" w:hAnsi="仿宋_GB2312" w:eastAsia="仿宋_GB2312" w:cs="仿宋_GB2312"/>
          <w:sz w:val="24"/>
        </w:rPr>
        <w:t>卖方必须提供设备说明书、安装、维护和操作文件、产品合格证、型式试验报告、3C报告、出厂检测报告及附件齐全。</w:t>
      </w:r>
    </w:p>
    <w:p w14:paraId="0088DE45">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第八条　货物验收</w:t>
      </w:r>
    </w:p>
    <w:p w14:paraId="286B6609">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卖方保证其供应的产品质量符合国家行业标准和双方约定的标准，货物是全新的。</w:t>
      </w:r>
    </w:p>
    <w:p w14:paraId="323DC18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lang w:eastAsia="zh-CN"/>
        </w:rPr>
        <w:t>第九条</w:t>
      </w:r>
      <w:r>
        <w:rPr>
          <w:rFonts w:hint="eastAsia" w:ascii="仿宋_GB2312" w:hAnsi="仿宋_GB2312" w:eastAsia="仿宋_GB2312" w:cs="仿宋_GB2312"/>
          <w:b/>
          <w:bCs/>
          <w:sz w:val="24"/>
          <w:lang w:val="en-US" w:eastAsia="zh-CN"/>
        </w:rPr>
        <w:t xml:space="preserve">  </w:t>
      </w:r>
      <w:r>
        <w:rPr>
          <w:rFonts w:hint="eastAsia" w:ascii="仿宋_GB2312" w:hAnsi="仿宋_GB2312" w:eastAsia="仿宋_GB2312" w:cs="仿宋_GB2312"/>
          <w:b/>
          <w:bCs/>
          <w:sz w:val="24"/>
        </w:rPr>
        <w:t>结算方式、时间：</w:t>
      </w:r>
      <w:r>
        <w:rPr>
          <w:rFonts w:hint="eastAsia" w:ascii="仿宋_GB2312" w:hAnsi="仿宋_GB2312" w:eastAsia="仿宋_GB2312" w:cs="仿宋_GB2312"/>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214A88A8">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第十条　标的物所有权自交货验收合格时起转移，但买方未履行支付价款义务的，标的物属于卖方所有。</w:t>
      </w:r>
    </w:p>
    <w:p w14:paraId="70B6637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第十一条  质量保证</w:t>
      </w:r>
    </w:p>
    <w:p w14:paraId="4DB89627">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11.1、如在保证期内发现货物存在影响正常使用的严重缺陷，则保证期将自该缺陷消除之日起开始计算。</w:t>
      </w:r>
    </w:p>
    <w:p w14:paraId="08A9FC3B">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11.2、如买方要求更换有缺陷的货物，新更换货物的保证期应重新计算。</w:t>
      </w:r>
    </w:p>
    <w:p w14:paraId="55008FE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11.3、保证期的届满不能视为卖方对货物中存在的潜在缺陷所负责任的解除，潜在缺陷指货物的隐患在正常情况下不能在保证期内被发现，卖方对纠正潜在缺陷应负责任。</w:t>
      </w:r>
    </w:p>
    <w:p w14:paraId="53E6E280">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11.4、对货物修理部位的质量保证期应延长2年。</w:t>
      </w:r>
    </w:p>
    <w:p w14:paraId="1E99EA1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11.5、在质量保证期过后，如买方需要，卖方应以最优惠的价格向买方提供维修合同货物必要的部件。</w:t>
      </w:r>
    </w:p>
    <w:p w14:paraId="5379B3CE">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第十二条  违约责任</w:t>
      </w:r>
    </w:p>
    <w:p w14:paraId="016B008C">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12.1、卖方逾期交货，除不可抗力的因素外，卖方应向买方支付延期交货违约金，按每日合同金额的2%支付违约金，但违约金总数不超过合同金额的</w:t>
      </w:r>
      <w:r>
        <w:rPr>
          <w:rFonts w:hint="eastAsia" w:ascii="仿宋_GB2312" w:hAnsi="仿宋_GB2312" w:eastAsia="仿宋_GB2312" w:cs="仿宋_GB2312"/>
          <w:sz w:val="24"/>
          <w:lang w:val="en-US" w:eastAsia="zh-CN"/>
        </w:rPr>
        <w:t>30</w:t>
      </w:r>
      <w:r>
        <w:rPr>
          <w:rFonts w:hint="eastAsia" w:ascii="仿宋_GB2312" w:hAnsi="仿宋_GB2312" w:eastAsia="仿宋_GB2312" w:cs="仿宋_GB2312"/>
          <w:sz w:val="24"/>
        </w:rPr>
        <w:t>%，逾期超过10天，买方有权解除合同.如果买方因货物逾期交货而造成的实际损失大于卖方支付的违约金时，卖方支付的违约金调整为因货物逾期给买方造成的实际损失金额。</w:t>
      </w:r>
    </w:p>
    <w:p w14:paraId="6B12EB04">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12.2、卖方将货物运至现场后，由于卖方原因造成的质量问题而导致货物不能按期投付使用，每影响一日，卖方应按合同价格的2%向买方支付违约金。逾期超过10天，买方有权解除合同。但买方因货物逾期投付使用造成的实际损失大于卖方支付的违约金时，卖方支付的违约金调整为因货物逾期给买方造成的实际损失金额。</w:t>
      </w:r>
    </w:p>
    <w:p w14:paraId="64C415F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12.3、本合同执行期间，如果卖方提供的货物有缺陷，卖方应立即无偿换货或修理。如需换货，卖方负担由此产生的到安装现场换货的一切费用。在紧急情况下，卖方应立即换货或修理；卖方可委托买方认可的第三方在现场进行损坏货物的修理，其质量和所有费用由卖方负责。同时，若买方由此遭受损失，买方有权向供方提出索赔，索赔范围为买方因货物的缺陷受到的损失。</w:t>
      </w:r>
    </w:p>
    <w:p w14:paraId="0990D6F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12.4、由于货物延期交付、货物质量问题、延期付款等原因，卖方或买方接到对方的索赔通知书，如有异议在7天内提出，否则索赔既告成立。</w:t>
      </w:r>
    </w:p>
    <w:p w14:paraId="3618D3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12.5、如果卖方有违反或拒绝执行本合同规定的行为时，买方有权暂停履行本合同的一部分或全部。买方行使暂停权利后，买方有权暂缓支付到期应向卖方支付的价款，对于这种暂停，买方将不出具变更通知书，由此而发生的一切费用、损失和索赔将由卖方承担。</w:t>
      </w:r>
    </w:p>
    <w:p w14:paraId="79A0D04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第十三条  由于买方的原因造成的货物损坏，卖方有义务尽快提供所需更换的部位，如果买方要求的是紧急部件，卖方应安排最快的方式运输。</w:t>
      </w:r>
    </w:p>
    <w:p w14:paraId="0D487632">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第十四条  合同的解除</w:t>
      </w:r>
    </w:p>
    <w:p w14:paraId="05673B2E">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14.1、卖方未能履行合同项下的任何其他义务，给买方造成重大损失的，买方可向卖方发出书面通知，解除全部或部分合同。一旦买方解除部分或全部合同，卖方应赔偿其违约行为给买方造成的实际损失且需承担本合同一年总标的的30%违约金以及产生的诉讼费，律师费，执行费等，同时卖方应继续履行合同未终止部分。</w:t>
      </w:r>
    </w:p>
    <w:p w14:paraId="29E14C4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14.2、当供需双方任何一方破产或已失去履约能力时，另一方可在2个月内以书面方式通知对方解除合同。但该行为并不损害或影响双方已采取或将采取补救措施的任何权利。</w:t>
      </w:r>
    </w:p>
    <w:p w14:paraId="383E62C6">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14.3、如因不可抗力使交货时间影响了工程进度，买方有权在1个月内解除合同，已付给卖方的费用卖方应在合同解除后5个工作日内无条件退回买方。</w:t>
      </w:r>
    </w:p>
    <w:p w14:paraId="604C3FEC">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第十五条  合同争议的解决方式：</w:t>
      </w:r>
      <w:r>
        <w:rPr>
          <w:rFonts w:hint="eastAsia" w:ascii="仿宋_GB2312" w:hAnsi="仿宋_GB2312" w:eastAsia="仿宋_GB2312" w:cs="仿宋_GB2312"/>
          <w:sz w:val="24"/>
        </w:rPr>
        <w:t>本合同在履行过程中发生的争议，可向合同签订地人民法院提起诉讼,诉讼费用（包括但不限于诉讼费、律师费、鉴定费、差旅费）由败诉方承担。</w:t>
      </w:r>
    </w:p>
    <w:p w14:paraId="48EBA48A">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b/>
          <w:bCs/>
          <w:sz w:val="24"/>
        </w:rPr>
        <w:t>第十六条  本合同一式6份，双方各执3份，由供需双方法定代表人或授权代理人签字</w:t>
      </w:r>
      <w:r>
        <w:rPr>
          <w:rFonts w:hint="eastAsia" w:ascii="仿宋_GB2312" w:hAnsi="仿宋_GB2312" w:eastAsia="仿宋_GB2312" w:cs="仿宋_GB2312"/>
          <w:b/>
          <w:bCs/>
          <w:sz w:val="24"/>
          <w:lang w:val="en-US" w:eastAsia="zh-CN"/>
        </w:rPr>
        <w:t>并</w:t>
      </w:r>
      <w:r>
        <w:rPr>
          <w:rFonts w:hint="eastAsia" w:ascii="仿宋_GB2312" w:hAnsi="仿宋_GB2312" w:eastAsia="仿宋_GB2312" w:cs="仿宋_GB2312"/>
          <w:b/>
          <w:bCs/>
          <w:sz w:val="24"/>
        </w:rPr>
        <w:t>盖章后生效</w:t>
      </w:r>
      <w:r>
        <w:rPr>
          <w:rFonts w:hint="eastAsia" w:ascii="仿宋_GB2312" w:hAnsi="仿宋_GB2312" w:eastAsia="仿宋_GB2312" w:cs="仿宋_GB2312"/>
          <w:b/>
          <w:bCs/>
          <w:sz w:val="24"/>
          <w:lang w:eastAsia="zh-CN"/>
        </w:rPr>
        <w:t>，每份具有同等法律效力</w:t>
      </w:r>
      <w:r>
        <w:rPr>
          <w:rFonts w:hint="eastAsia" w:ascii="仿宋_GB2312" w:hAnsi="仿宋_GB2312" w:eastAsia="仿宋_GB2312" w:cs="仿宋_GB2312"/>
          <w:b/>
          <w:bCs/>
          <w:sz w:val="24"/>
        </w:rPr>
        <w:t>。</w:t>
      </w:r>
    </w:p>
    <w:p w14:paraId="73500CF4">
      <w:pPr>
        <w:keepNext w:val="0"/>
        <w:keepLines w:val="0"/>
        <w:pageBreakBefore w:val="0"/>
        <w:widowControl w:val="0"/>
        <w:kinsoku/>
        <w:wordWrap/>
        <w:overflowPunct/>
        <w:topLinePunct w:val="0"/>
        <w:autoSpaceDE/>
        <w:autoSpaceDN/>
        <w:bidi w:val="0"/>
        <w:adjustRightInd/>
        <w:snapToGrid/>
        <w:spacing w:line="300" w:lineRule="auto"/>
        <w:ind w:firstLine="482" w:firstLineChars="200"/>
        <w:jc w:val="left"/>
        <w:textAlignment w:val="auto"/>
        <w:rPr>
          <w:rFonts w:hint="eastAsia" w:ascii="仿宋_GB2312" w:hAnsi="仿宋_GB2312" w:eastAsia="仿宋_GB2312" w:cs="仿宋_GB2312"/>
          <w:b/>
          <w:bCs/>
          <w:sz w:val="24"/>
        </w:rPr>
      </w:pPr>
      <w:r>
        <w:rPr>
          <w:rFonts w:hint="eastAsia" w:ascii="仿宋_GB2312" w:hAnsi="仿宋_GB2312" w:eastAsia="仿宋_GB2312" w:cs="仿宋_GB2312"/>
          <w:b/>
          <w:bCs/>
          <w:sz w:val="24"/>
        </w:rPr>
        <w:t>第十七条  其它约定事项:</w:t>
      </w:r>
    </w:p>
    <w:p w14:paraId="2B8CDB93">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17.1、本合同未约定的事项，由双方另行签订补充协议，补充协议与本合同书具有同等法律效力。</w:t>
      </w:r>
    </w:p>
    <w:p w14:paraId="4064CF71">
      <w:pPr>
        <w:keepNext w:val="0"/>
        <w:keepLines w:val="0"/>
        <w:pageBreakBefore w:val="0"/>
        <w:widowControl w:val="0"/>
        <w:kinsoku/>
        <w:wordWrap/>
        <w:overflowPunct/>
        <w:topLinePunct w:val="0"/>
        <w:autoSpaceDE/>
        <w:autoSpaceDN/>
        <w:bidi w:val="0"/>
        <w:adjustRightInd/>
        <w:snapToGrid/>
        <w:spacing w:line="300" w:lineRule="auto"/>
        <w:ind w:firstLine="480" w:firstLineChars="2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17.2、卖方应具有合法经营的资格，买方要求时要提供其合法经营的证明文件，证明文件与本合同具有同等法律效力。因卖方不具有合法经营资格给买方造成的损失，由卖方负责</w:t>
      </w:r>
      <w:r>
        <w:rPr>
          <w:rFonts w:hint="eastAsia" w:ascii="仿宋_GB2312" w:hAnsi="仿宋_GB2312" w:eastAsia="仿宋_GB2312" w:cs="仿宋_GB2312"/>
          <w:sz w:val="24"/>
          <w:lang w:eastAsia="zh-CN"/>
        </w:rPr>
        <w:t>。</w:t>
      </w:r>
    </w:p>
    <w:p w14:paraId="2D1BA6F7">
      <w:pPr>
        <w:jc w:val="left"/>
        <w:rPr>
          <w:rFonts w:ascii="仿宋_GB2312" w:hAnsi="仿宋_GB2312" w:eastAsia="仿宋_GB2312" w:cs="仿宋_GB2312"/>
          <w:sz w:val="24"/>
        </w:rPr>
      </w:pPr>
    </w:p>
    <w:tbl>
      <w:tblPr>
        <w:tblStyle w:val="7"/>
        <w:tblW w:w="9300" w:type="dxa"/>
        <w:tblInd w:w="-6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2"/>
        <w:gridCol w:w="4688"/>
      </w:tblGrid>
      <w:tr w14:paraId="3D2B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1" w:hRule="atLeast"/>
        </w:trPr>
        <w:tc>
          <w:tcPr>
            <w:tcW w:w="4612" w:type="dxa"/>
          </w:tcPr>
          <w:p w14:paraId="472552D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卖方</w:t>
            </w:r>
          </w:p>
          <w:p w14:paraId="3AF6B065">
            <w:pPr>
              <w:jc w:val="lef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单位名称：</w:t>
            </w:r>
            <w:r>
              <w:rPr>
                <w:rFonts w:hint="eastAsia" w:ascii="仿宋_GB2312" w:hAnsi="仿宋_GB2312" w:eastAsia="仿宋_GB2312" w:cs="仿宋_GB2312"/>
                <w:sz w:val="24"/>
                <w:lang w:val="en-US" w:eastAsia="zh-CN"/>
              </w:rPr>
              <w:t xml:space="preserve"> </w:t>
            </w:r>
          </w:p>
          <w:p w14:paraId="1FFDBBC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单位地址：</w:t>
            </w:r>
            <w:r>
              <w:rPr>
                <w:rFonts w:hint="eastAsia" w:ascii="仿宋_GB2312" w:hAnsi="仿宋_GB2312" w:eastAsia="仿宋_GB2312" w:cs="仿宋_GB2312"/>
                <w:sz w:val="24"/>
                <w:lang w:val="en-US" w:eastAsia="zh-CN"/>
              </w:rPr>
              <w:t xml:space="preserve"> </w:t>
            </w:r>
          </w:p>
          <w:p w14:paraId="1AA2F66B">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6A89B8EC">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583A56D1">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电话：</w:t>
            </w:r>
            <w:r>
              <w:rPr>
                <w:rFonts w:hint="eastAsia" w:ascii="仿宋_GB2312" w:hAnsi="仿宋_GB2312" w:eastAsia="仿宋_GB2312" w:cs="仿宋_GB2312"/>
                <w:sz w:val="24"/>
                <w:lang w:val="en-US" w:eastAsia="zh-CN"/>
              </w:rPr>
              <w:t xml:space="preserve"> </w:t>
            </w:r>
          </w:p>
          <w:p w14:paraId="7411B3E8">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传真：</w:t>
            </w:r>
            <w:r>
              <w:rPr>
                <w:rFonts w:hint="eastAsia" w:ascii="仿宋_GB2312" w:hAnsi="仿宋_GB2312" w:eastAsia="仿宋_GB2312" w:cs="仿宋_GB2312"/>
                <w:sz w:val="24"/>
                <w:lang w:val="en-US" w:eastAsia="zh-CN"/>
              </w:rPr>
              <w:t xml:space="preserve"> </w:t>
            </w:r>
          </w:p>
          <w:p w14:paraId="5FF51CE3">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开户银行：</w:t>
            </w:r>
            <w:r>
              <w:rPr>
                <w:rFonts w:hint="eastAsia" w:ascii="仿宋_GB2312" w:hAnsi="仿宋_GB2312" w:eastAsia="仿宋_GB2312" w:cs="仿宋_GB2312"/>
                <w:sz w:val="24"/>
                <w:lang w:val="en-US" w:eastAsia="zh-CN"/>
              </w:rPr>
              <w:t xml:space="preserve"> </w:t>
            </w:r>
          </w:p>
          <w:p w14:paraId="6CB1D3BE">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账号：</w:t>
            </w:r>
            <w:r>
              <w:rPr>
                <w:rFonts w:hint="eastAsia" w:ascii="仿宋_GB2312" w:hAnsi="仿宋_GB2312" w:eastAsia="仿宋_GB2312" w:cs="仿宋_GB2312"/>
                <w:sz w:val="24"/>
                <w:lang w:val="en-US" w:eastAsia="zh-CN"/>
              </w:rPr>
              <w:t xml:space="preserve"> </w:t>
            </w:r>
          </w:p>
          <w:p w14:paraId="66D6D59E">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税号：</w:t>
            </w:r>
            <w:r>
              <w:rPr>
                <w:rFonts w:hint="eastAsia" w:ascii="仿宋_GB2312" w:hAnsi="仿宋_GB2312" w:eastAsia="仿宋_GB2312" w:cs="仿宋_GB2312"/>
                <w:sz w:val="24"/>
                <w:lang w:val="en-US" w:eastAsia="zh-CN"/>
              </w:rPr>
              <w:t xml:space="preserve"> </w:t>
            </w:r>
          </w:p>
          <w:p w14:paraId="71EE166A">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邮政编号：</w:t>
            </w:r>
            <w:r>
              <w:rPr>
                <w:rFonts w:hint="eastAsia" w:ascii="仿宋_GB2312" w:hAnsi="仿宋_GB2312" w:eastAsia="仿宋_GB2312" w:cs="仿宋_GB2312"/>
                <w:sz w:val="24"/>
                <w:lang w:val="en-US" w:eastAsia="zh-CN"/>
              </w:rPr>
              <w:t xml:space="preserve"> </w:t>
            </w:r>
          </w:p>
        </w:tc>
        <w:tc>
          <w:tcPr>
            <w:tcW w:w="4688" w:type="dxa"/>
          </w:tcPr>
          <w:p w14:paraId="5952A6BF">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eastAsia="zh-CN"/>
              </w:rPr>
              <w:t>买方</w:t>
            </w:r>
          </w:p>
          <w:p w14:paraId="1BF22EB4">
            <w:pPr>
              <w:jc w:val="left"/>
              <w:rPr>
                <w:rFonts w:ascii="仿宋_GB2312" w:hAnsi="仿宋_GB2312" w:eastAsia="仿宋_GB2312" w:cs="仿宋_GB2312"/>
                <w:sz w:val="24"/>
              </w:rPr>
            </w:pPr>
            <w:r>
              <w:rPr>
                <w:rFonts w:hint="eastAsia" w:ascii="仿宋_GB2312" w:hAnsi="仿宋_GB2312" w:eastAsia="仿宋_GB2312" w:cs="仿宋_GB2312"/>
                <w:sz w:val="24"/>
              </w:rPr>
              <w:t>单位名称：连云港市工业投资集团有限公司</w:t>
            </w:r>
          </w:p>
          <w:p w14:paraId="7EA6DEA8">
            <w:pPr>
              <w:jc w:val="left"/>
              <w:rPr>
                <w:rFonts w:ascii="仿宋_GB2312" w:hAnsi="仿宋_GB2312" w:eastAsia="仿宋_GB2312" w:cs="仿宋_GB2312"/>
                <w:sz w:val="24"/>
              </w:rPr>
            </w:pPr>
            <w:r>
              <w:rPr>
                <w:rFonts w:hint="eastAsia" w:ascii="仿宋_GB2312" w:hAnsi="仿宋_GB2312" w:eastAsia="仿宋_GB2312" w:cs="仿宋_GB2312"/>
                <w:sz w:val="24"/>
              </w:rPr>
              <w:t>单位地址：连云港市高新区花果山大道109号</w:t>
            </w:r>
          </w:p>
          <w:p w14:paraId="0C4C91B6">
            <w:pPr>
              <w:jc w:val="left"/>
              <w:rPr>
                <w:rFonts w:ascii="仿宋_GB2312" w:hAnsi="仿宋_GB2312" w:eastAsia="仿宋_GB2312" w:cs="仿宋_GB2312"/>
                <w:sz w:val="24"/>
              </w:rPr>
            </w:pPr>
            <w:r>
              <w:rPr>
                <w:rFonts w:hint="eastAsia" w:ascii="仿宋_GB2312" w:hAnsi="仿宋_GB2312" w:eastAsia="仿宋_GB2312" w:cs="仿宋_GB2312"/>
                <w:sz w:val="24"/>
              </w:rPr>
              <w:t>法定代表人：</w:t>
            </w:r>
          </w:p>
          <w:p w14:paraId="16F32943">
            <w:pPr>
              <w:jc w:val="left"/>
              <w:rPr>
                <w:rFonts w:ascii="仿宋_GB2312" w:hAnsi="仿宋_GB2312" w:eastAsia="仿宋_GB2312" w:cs="仿宋_GB2312"/>
                <w:sz w:val="24"/>
              </w:rPr>
            </w:pPr>
            <w:r>
              <w:rPr>
                <w:rFonts w:hint="eastAsia" w:ascii="仿宋_GB2312" w:hAnsi="仿宋_GB2312" w:eastAsia="仿宋_GB2312" w:cs="仿宋_GB2312"/>
                <w:sz w:val="24"/>
              </w:rPr>
              <w:t>授权代理人：</w:t>
            </w:r>
          </w:p>
          <w:p w14:paraId="6E97E6B3">
            <w:pPr>
              <w:jc w:val="lef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rPr>
              <w:t>电话：0518-856059</w:t>
            </w:r>
            <w:r>
              <w:rPr>
                <w:rFonts w:hint="eastAsia" w:ascii="仿宋_GB2312" w:hAnsi="仿宋_GB2312" w:eastAsia="仿宋_GB2312" w:cs="仿宋_GB2312"/>
                <w:sz w:val="24"/>
                <w:lang w:val="en-US" w:eastAsia="zh-CN"/>
              </w:rPr>
              <w:t>51</w:t>
            </w:r>
          </w:p>
          <w:p w14:paraId="702D174B">
            <w:pPr>
              <w:jc w:val="left"/>
              <w:rPr>
                <w:rFonts w:ascii="仿宋_GB2312" w:hAnsi="仿宋_GB2312" w:eastAsia="仿宋_GB2312" w:cs="仿宋_GB2312"/>
                <w:sz w:val="24"/>
              </w:rPr>
            </w:pPr>
            <w:r>
              <w:rPr>
                <w:rFonts w:hint="eastAsia" w:ascii="仿宋_GB2312" w:hAnsi="仿宋_GB2312" w:eastAsia="仿宋_GB2312" w:cs="仿宋_GB2312"/>
                <w:sz w:val="24"/>
              </w:rPr>
              <w:t>传真：</w:t>
            </w:r>
          </w:p>
          <w:p w14:paraId="6DA360CD">
            <w:pPr>
              <w:jc w:val="left"/>
              <w:rPr>
                <w:rFonts w:ascii="仿宋_GB2312" w:hAnsi="仿宋_GB2312" w:eastAsia="仿宋_GB2312" w:cs="仿宋_GB2312"/>
                <w:sz w:val="24"/>
              </w:rPr>
            </w:pPr>
            <w:r>
              <w:rPr>
                <w:rFonts w:hint="eastAsia" w:ascii="仿宋_GB2312" w:hAnsi="仿宋_GB2312" w:eastAsia="仿宋_GB2312" w:cs="仿宋_GB2312"/>
                <w:sz w:val="24"/>
              </w:rPr>
              <w:t>开户银行：工行连云港市</w:t>
            </w:r>
            <w:r>
              <w:rPr>
                <w:rFonts w:hint="eastAsia" w:ascii="仿宋_GB2312" w:hAnsi="仿宋_GB2312" w:eastAsia="仿宋_GB2312" w:cs="仿宋_GB2312"/>
                <w:sz w:val="24"/>
                <w:lang w:eastAsia="zh-CN"/>
              </w:rPr>
              <w:t>分行</w:t>
            </w:r>
            <w:r>
              <w:rPr>
                <w:rFonts w:hint="eastAsia" w:ascii="仿宋_GB2312" w:hAnsi="仿宋_GB2312" w:eastAsia="仿宋_GB2312" w:cs="仿宋_GB2312"/>
                <w:sz w:val="24"/>
              </w:rPr>
              <w:t>营业部</w:t>
            </w:r>
          </w:p>
          <w:p w14:paraId="42FE80CF">
            <w:pPr>
              <w:jc w:val="left"/>
              <w:rPr>
                <w:rFonts w:ascii="仿宋_GB2312" w:hAnsi="仿宋_GB2312" w:eastAsia="仿宋_GB2312" w:cs="仿宋_GB2312"/>
                <w:sz w:val="24"/>
              </w:rPr>
            </w:pPr>
            <w:r>
              <w:rPr>
                <w:rFonts w:hint="eastAsia" w:ascii="仿宋_GB2312" w:hAnsi="仿宋_GB2312" w:eastAsia="仿宋_GB2312" w:cs="仿宋_GB2312"/>
                <w:sz w:val="24"/>
              </w:rPr>
              <w:t>账号：1107010009000</w:t>
            </w:r>
            <w:r>
              <w:rPr>
                <w:rFonts w:hint="eastAsia" w:ascii="仿宋_GB2312" w:hAnsi="仿宋_GB2312" w:eastAsia="仿宋_GB2312" w:cs="仿宋_GB2312"/>
                <w:sz w:val="24"/>
                <w:lang w:val="en-US" w:eastAsia="zh-CN"/>
              </w:rPr>
              <w:t>0</w:t>
            </w:r>
            <w:r>
              <w:rPr>
                <w:rFonts w:hint="eastAsia" w:ascii="仿宋_GB2312" w:hAnsi="仿宋_GB2312" w:eastAsia="仿宋_GB2312" w:cs="仿宋_GB2312"/>
                <w:sz w:val="24"/>
              </w:rPr>
              <w:t>20344</w:t>
            </w:r>
          </w:p>
          <w:p w14:paraId="229B3A64">
            <w:pPr>
              <w:jc w:val="left"/>
              <w:rPr>
                <w:rFonts w:ascii="仿宋_GB2312" w:hAnsi="仿宋_GB2312" w:eastAsia="仿宋_GB2312" w:cs="仿宋_GB2312"/>
                <w:sz w:val="24"/>
              </w:rPr>
            </w:pPr>
            <w:r>
              <w:rPr>
                <w:rFonts w:hint="eastAsia" w:ascii="仿宋_GB2312" w:hAnsi="仿宋_GB2312" w:eastAsia="仿宋_GB2312" w:cs="仿宋_GB2312"/>
                <w:sz w:val="24"/>
              </w:rPr>
              <w:t>税号：913207007040440951</w:t>
            </w:r>
          </w:p>
          <w:p w14:paraId="717256B4">
            <w:pPr>
              <w:jc w:val="left"/>
              <w:rPr>
                <w:rFonts w:ascii="仿宋_GB2312" w:hAnsi="仿宋_GB2312" w:eastAsia="仿宋_GB2312" w:cs="仿宋_GB2312"/>
                <w:sz w:val="24"/>
              </w:rPr>
            </w:pPr>
            <w:r>
              <w:rPr>
                <w:rFonts w:hint="eastAsia" w:ascii="仿宋_GB2312" w:hAnsi="仿宋_GB2312" w:eastAsia="仿宋_GB2312" w:cs="仿宋_GB2312"/>
                <w:sz w:val="24"/>
              </w:rPr>
              <w:t>邮政编号：222002</w:t>
            </w:r>
          </w:p>
        </w:tc>
      </w:tr>
    </w:tbl>
    <w:p w14:paraId="04D452B7">
      <w:pPr>
        <w:jc w:val="left"/>
        <w:rPr>
          <w:rFonts w:ascii="仿宋_GB2312" w:hAnsi="仿宋_GB2312" w:eastAsia="仿宋_GB2312" w:cs="仿宋_GB2312"/>
          <w:sz w:val="24"/>
          <w:u w:val="single"/>
        </w:rPr>
      </w:pPr>
    </w:p>
    <w:p w14:paraId="01B0A599">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B5AB8"/>
    <w:multiLevelType w:val="singleLevel"/>
    <w:tmpl w:val="02FB5AB8"/>
    <w:lvl w:ilvl="0" w:tentative="0">
      <w:start w:val="1"/>
      <w:numFmt w:val="chineseCounting"/>
      <w:suff w:val="nothing"/>
      <w:lvlText w:val="第%1条　"/>
      <w:lvlJc w:val="left"/>
      <w:rPr>
        <w:rFonts w:hint="eastAsia"/>
      </w:rPr>
    </w:lvl>
  </w:abstractNum>
  <w:abstractNum w:abstractNumId="1">
    <w:nsid w:val="253B5D9F"/>
    <w:multiLevelType w:val="singleLevel"/>
    <w:tmpl w:val="253B5D9F"/>
    <w:lvl w:ilvl="0" w:tentative="0">
      <w:start w:val="5"/>
      <w:numFmt w:val="decimal"/>
      <w:suff w:val="nothing"/>
      <w:lvlText w:val="%1、"/>
      <w:lvlJc w:val="left"/>
    </w:lvl>
  </w:abstractNum>
  <w:abstractNum w:abstractNumId="2">
    <w:nsid w:val="38FE180F"/>
    <w:multiLevelType w:val="singleLevel"/>
    <w:tmpl w:val="38FE180F"/>
    <w:lvl w:ilvl="0" w:tentative="0">
      <w:start w:val="2"/>
      <w:numFmt w:val="chineseCounting"/>
      <w:suff w:val="nothing"/>
      <w:lvlText w:val="%1、"/>
      <w:lvlJc w:val="left"/>
      <w:rPr>
        <w:rFonts w:hint="eastAsia"/>
      </w:rPr>
    </w:lvl>
  </w:abstractNum>
  <w:abstractNum w:abstractNumId="3">
    <w:nsid w:val="4C0A466D"/>
    <w:multiLevelType w:val="singleLevel"/>
    <w:tmpl w:val="4C0A466D"/>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4A4032"/>
    <w:rsid w:val="0D785E51"/>
    <w:rsid w:val="0E4B1F3E"/>
    <w:rsid w:val="0E6A08A6"/>
    <w:rsid w:val="0E993CB5"/>
    <w:rsid w:val="0F5436F7"/>
    <w:rsid w:val="0FB232A2"/>
    <w:rsid w:val="103528C7"/>
    <w:rsid w:val="10685553"/>
    <w:rsid w:val="107D77B2"/>
    <w:rsid w:val="1130123A"/>
    <w:rsid w:val="11990505"/>
    <w:rsid w:val="11D719B9"/>
    <w:rsid w:val="12377C75"/>
    <w:rsid w:val="12960FB7"/>
    <w:rsid w:val="137F5319"/>
    <w:rsid w:val="13B642FE"/>
    <w:rsid w:val="14057B62"/>
    <w:rsid w:val="156863F4"/>
    <w:rsid w:val="158C1F5E"/>
    <w:rsid w:val="16BD7DED"/>
    <w:rsid w:val="17117F31"/>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0D84EB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1A3C3D"/>
    <w:rsid w:val="331128CC"/>
    <w:rsid w:val="33AB2DFB"/>
    <w:rsid w:val="34EB4A02"/>
    <w:rsid w:val="376322BC"/>
    <w:rsid w:val="38213B10"/>
    <w:rsid w:val="38D15CEB"/>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045F17"/>
    <w:rsid w:val="482512D8"/>
    <w:rsid w:val="488134C6"/>
    <w:rsid w:val="4A242B72"/>
    <w:rsid w:val="4B2844F3"/>
    <w:rsid w:val="4B2B4CF5"/>
    <w:rsid w:val="4B5F0F48"/>
    <w:rsid w:val="4DA5179B"/>
    <w:rsid w:val="4DD16AAC"/>
    <w:rsid w:val="51D72A7B"/>
    <w:rsid w:val="51E34706"/>
    <w:rsid w:val="535541BB"/>
    <w:rsid w:val="53E56A1C"/>
    <w:rsid w:val="544678EB"/>
    <w:rsid w:val="54CE24A4"/>
    <w:rsid w:val="54F76591"/>
    <w:rsid w:val="551A75C7"/>
    <w:rsid w:val="55BC72BE"/>
    <w:rsid w:val="55E92434"/>
    <w:rsid w:val="567F58DD"/>
    <w:rsid w:val="568E3C42"/>
    <w:rsid w:val="56B965F9"/>
    <w:rsid w:val="56BF65F2"/>
    <w:rsid w:val="573B6C6D"/>
    <w:rsid w:val="5827645E"/>
    <w:rsid w:val="592F7643"/>
    <w:rsid w:val="599E1B42"/>
    <w:rsid w:val="5A7259C5"/>
    <w:rsid w:val="5B0416A8"/>
    <w:rsid w:val="5C5F030B"/>
    <w:rsid w:val="5D8B2D00"/>
    <w:rsid w:val="5F824661"/>
    <w:rsid w:val="5FF80052"/>
    <w:rsid w:val="60171399"/>
    <w:rsid w:val="60AC0C42"/>
    <w:rsid w:val="61651638"/>
    <w:rsid w:val="61A20F78"/>
    <w:rsid w:val="61D54F1C"/>
    <w:rsid w:val="62EE3A42"/>
    <w:rsid w:val="63917746"/>
    <w:rsid w:val="63EC4B1D"/>
    <w:rsid w:val="66A6332B"/>
    <w:rsid w:val="68442DFB"/>
    <w:rsid w:val="6AD432EA"/>
    <w:rsid w:val="6CA80668"/>
    <w:rsid w:val="6D171304"/>
    <w:rsid w:val="6E123E67"/>
    <w:rsid w:val="6FD05675"/>
    <w:rsid w:val="71487932"/>
    <w:rsid w:val="71FD4A4D"/>
    <w:rsid w:val="725256DA"/>
    <w:rsid w:val="725409A7"/>
    <w:rsid w:val="748728B0"/>
    <w:rsid w:val="753B2405"/>
    <w:rsid w:val="75E04BB4"/>
    <w:rsid w:val="76074DF1"/>
    <w:rsid w:val="76135B49"/>
    <w:rsid w:val="775018D4"/>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 w:type="character" w:customStyle="1" w:styleId="20">
    <w:name w:val="font51"/>
    <w:basedOn w:val="8"/>
    <w:qFormat/>
    <w:uiPriority w:val="0"/>
    <w:rPr>
      <w:rFonts w:ascii="华文细黑" w:hAnsi="华文细黑" w:eastAsia="华文细黑" w:cs="华文细黑"/>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17</Pages>
  <Words>7861</Words>
  <Characters>8687</Characters>
  <Lines>0</Lines>
  <Paragraphs>0</Paragraphs>
  <TotalTime>13</TotalTime>
  <ScaleCrop>false</ScaleCrop>
  <LinksUpToDate>false</LinksUpToDate>
  <CharactersWithSpaces>9316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2025-09-05T07:22:31Z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