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9982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4" w:name="_GoBack"/>
      <w:bookmarkStart w:id="0" w:name="_Toc317694228"/>
      <w:r>
        <w:rPr>
          <w:rFonts w:hint="eastAsia" w:asciiTheme="minorEastAsia" w:hAnsiTheme="minorEastAsia" w:eastAsiaTheme="minorEastAsia"/>
          <w:b/>
          <w:color w:val="000000" w:themeColor="text1"/>
          <w:sz w:val="36"/>
          <w:szCs w:val="36"/>
          <w:lang w:eastAsia="zh-CN"/>
          <w14:textFill>
            <w14:solidFill>
              <w14:schemeClr w14:val="tx1"/>
            </w14:solidFill>
          </w14:textFill>
        </w:rPr>
        <w:t>徐南悦升绿化工程270kW分布式光伏发电工程土建项目</w:t>
      </w:r>
      <w:bookmarkStart w:id="1" w:name="_Toc328381676"/>
      <w:bookmarkStart w:id="2" w:name="_Toc61871270"/>
      <w:bookmarkStart w:id="3" w:name="_Toc25200"/>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p>
    <w:bookmarkEnd w:id="4"/>
    <w:p w14:paraId="44DE11C8">
      <w:pPr>
        <w:spacing w:line="360" w:lineRule="auto"/>
        <w:rPr>
          <w:b/>
          <w:color w:val="333333"/>
          <w:sz w:val="24"/>
          <w:szCs w:val="24"/>
        </w:rPr>
      </w:pPr>
      <w:r>
        <w:rPr>
          <w:rFonts w:hint="eastAsia"/>
          <w:b/>
          <w:color w:val="333333"/>
          <w:sz w:val="24"/>
          <w:szCs w:val="24"/>
        </w:rPr>
        <w:t>一、招标条件</w:t>
      </w:r>
    </w:p>
    <w:p w14:paraId="637A4C19">
      <w:pPr>
        <w:spacing w:line="360" w:lineRule="auto"/>
        <w:ind w:left="479" w:leftChars="228" w:firstLine="0" w:firstLineChars="0"/>
        <w:rPr>
          <w:rFonts w:hint="eastAsia"/>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徐南悦升绿化工程270kW分布式光伏发电工程土建项目</w:t>
      </w:r>
    </w:p>
    <w:p w14:paraId="2B94E7E2">
      <w:pPr>
        <w:spacing w:line="360" w:lineRule="auto"/>
        <w:ind w:left="479" w:leftChars="228" w:firstLine="0" w:firstLineChars="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物资-2025（内）    </w:t>
      </w:r>
    </w:p>
    <w:p w14:paraId="217B3677">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2C2F5AD9">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383FE981">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123DA340">
      <w:pPr>
        <w:spacing w:line="360" w:lineRule="auto"/>
        <w:rPr>
          <w:b/>
          <w:color w:val="333333"/>
          <w:sz w:val="24"/>
          <w:szCs w:val="24"/>
        </w:rPr>
      </w:pPr>
      <w:r>
        <w:rPr>
          <w:rFonts w:hint="eastAsia"/>
          <w:b/>
          <w:color w:val="333333"/>
          <w:sz w:val="24"/>
          <w:szCs w:val="24"/>
        </w:rPr>
        <w:t>二、项目概况</w:t>
      </w:r>
    </w:p>
    <w:p w14:paraId="65E062E1">
      <w:pPr>
        <w:spacing w:line="360" w:lineRule="auto"/>
        <w:ind w:firstLine="480" w:firstLineChars="200"/>
        <w:rPr>
          <w:rFonts w:hint="eastAsia"/>
          <w:color w:val="333333"/>
          <w:sz w:val="24"/>
          <w:szCs w:val="24"/>
          <w:lang w:eastAsia="zh-CN"/>
        </w:rPr>
      </w:pPr>
      <w:r>
        <w:rPr>
          <w:rFonts w:hint="eastAsia"/>
          <w:color w:val="333333"/>
          <w:sz w:val="24"/>
          <w:szCs w:val="24"/>
        </w:rPr>
        <w:t>1.项目名称：</w:t>
      </w:r>
      <w:r>
        <w:rPr>
          <w:rFonts w:hint="eastAsia"/>
          <w:color w:val="333333"/>
          <w:sz w:val="24"/>
          <w:szCs w:val="24"/>
          <w:lang w:eastAsia="zh-CN"/>
        </w:rPr>
        <w:t>徐南悦升绿化工程270kW分布式光伏发电工程土建项目</w:t>
      </w:r>
    </w:p>
    <w:p w14:paraId="49A9B998">
      <w:pPr>
        <w:spacing w:line="360" w:lineRule="auto"/>
        <w:ind w:firstLine="480" w:firstLineChars="200"/>
        <w:rPr>
          <w:rFonts w:hint="default" w:eastAsia="宋体"/>
          <w:color w:val="333333"/>
          <w:sz w:val="24"/>
          <w:szCs w:val="24"/>
          <w:lang w:val="en-US" w:eastAsia="zh-CN"/>
        </w:rPr>
      </w:pPr>
      <w:r>
        <w:rPr>
          <w:rFonts w:hint="eastAsia"/>
          <w:color w:val="333333"/>
          <w:sz w:val="24"/>
          <w:szCs w:val="24"/>
        </w:rPr>
        <w:t>2.工程地点：</w:t>
      </w:r>
      <w:r>
        <w:rPr>
          <w:rFonts w:hint="eastAsia"/>
          <w:color w:val="333333"/>
          <w:sz w:val="24"/>
          <w:szCs w:val="24"/>
          <w:lang w:val="en-US" w:eastAsia="zh-CN"/>
        </w:rPr>
        <w:t>徐圩区</w:t>
      </w:r>
    </w:p>
    <w:p w14:paraId="5AE56CE2">
      <w:pPr>
        <w:spacing w:line="360" w:lineRule="auto"/>
        <w:ind w:firstLine="480" w:firstLineChars="200"/>
        <w:rPr>
          <w:color w:val="333333"/>
          <w:sz w:val="24"/>
          <w:szCs w:val="24"/>
        </w:rPr>
      </w:pPr>
      <w:r>
        <w:rPr>
          <w:rFonts w:hint="eastAsia"/>
          <w:color w:val="333333"/>
          <w:sz w:val="24"/>
          <w:szCs w:val="24"/>
        </w:rPr>
        <w:t>3.工程概况：</w:t>
      </w:r>
    </w:p>
    <w:p w14:paraId="617611AF">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连云港市徐圩区</w:t>
      </w:r>
      <w:r>
        <w:rPr>
          <w:rFonts w:hint="eastAsia"/>
          <w:color w:val="333333"/>
          <w:sz w:val="24"/>
          <w:szCs w:val="24"/>
        </w:rPr>
        <w:t>，工程主要内容：</w:t>
      </w:r>
    </w:p>
    <w:tbl>
      <w:tblPr>
        <w:tblStyle w:val="46"/>
        <w:tblW w:w="10712" w:type="dxa"/>
        <w:tblInd w:w="-1157" w:type="dxa"/>
        <w:tblLayout w:type="fixed"/>
        <w:tblCellMar>
          <w:top w:w="0" w:type="dxa"/>
          <w:left w:w="108" w:type="dxa"/>
          <w:bottom w:w="0" w:type="dxa"/>
          <w:right w:w="108" w:type="dxa"/>
        </w:tblCellMar>
      </w:tblPr>
      <w:tblGrid>
        <w:gridCol w:w="850"/>
        <w:gridCol w:w="1537"/>
        <w:gridCol w:w="5013"/>
        <w:gridCol w:w="812"/>
        <w:gridCol w:w="825"/>
        <w:gridCol w:w="1675"/>
      </w:tblGrid>
      <w:tr w14:paraId="5BE1D2B2">
        <w:tblPrEx>
          <w:tblCellMar>
            <w:top w:w="0" w:type="dxa"/>
            <w:left w:w="108" w:type="dxa"/>
            <w:bottom w:w="0" w:type="dxa"/>
            <w:right w:w="108" w:type="dxa"/>
          </w:tblCellMar>
        </w:tblPrEx>
        <w:trPr>
          <w:trHeight w:val="76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413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93E2">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B95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D76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E41957">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16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A05458">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AF9B9AB">
        <w:tblPrEx>
          <w:tblCellMar>
            <w:top w:w="0" w:type="dxa"/>
            <w:left w:w="108" w:type="dxa"/>
            <w:bottom w:w="0" w:type="dxa"/>
            <w:right w:w="108" w:type="dxa"/>
          </w:tblCellMar>
        </w:tblPrEx>
        <w:trPr>
          <w:trHeight w:val="3807"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E955">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BC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车棚钢结构</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AB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车棚采购（具体金额及施工工艺以招标清单为准，包安装）1.刚架梁、柱除另有注明外，均采用Q235钢，檩条及支撑采用Q235B钢。</w:t>
            </w:r>
          </w:p>
          <w:p w14:paraId="6618E0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2.高强螺栓除另有注明外，均采用10.9级摩擦型连接高强度螺栓。普通螺栓为Q235B钢8.8级；</w:t>
            </w:r>
          </w:p>
          <w:p w14:paraId="3672B4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3.锚栓除另有注明外，均采用Q235B  ，应符合《碳素结构钢》GB/T 700的规定；</w:t>
            </w:r>
          </w:p>
          <w:p w14:paraId="484700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4.a.手工焊的焊条应符合GB/T 5117《碳钢焊条》或GB/T 5118《低合金钢焊条》规定。b.埋弧焊用的碳钢焊丝与焊剂应符合GB/T 5293《埋弧焊用碳》及GB/T 14957《熔化焊用钢丝》的规定；</w:t>
            </w:r>
          </w:p>
          <w:p w14:paraId="069B7B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5.详见图纸</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DE5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62D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DBD32">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3101BF16">
        <w:tblPrEx>
          <w:tblCellMar>
            <w:top w:w="0" w:type="dxa"/>
            <w:left w:w="108" w:type="dxa"/>
            <w:bottom w:w="0" w:type="dxa"/>
            <w:right w:w="108" w:type="dxa"/>
          </w:tblCellMar>
        </w:tblPrEx>
        <w:trPr>
          <w:trHeight w:val="583"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FC76">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3F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电缆井</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65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电缆方井</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393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3D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675" w:type="dxa"/>
            <w:vMerge w:val="restart"/>
            <w:tcBorders>
              <w:top w:val="single" w:color="auto" w:sz="4" w:space="0"/>
              <w:left w:val="single" w:color="auto" w:sz="4" w:space="0"/>
              <w:right w:val="single" w:color="auto" w:sz="4" w:space="0"/>
            </w:tcBorders>
            <w:shd w:val="clear" w:color="auto" w:fill="auto"/>
            <w:noWrap/>
            <w:vAlign w:val="center"/>
          </w:tcPr>
          <w:p w14:paraId="0C050535">
            <w:pPr>
              <w:keepNext w:val="0"/>
              <w:keepLines w:val="0"/>
              <w:widowControl/>
              <w:suppressLineNumbers w:val="0"/>
              <w:jc w:val="center"/>
              <w:textAlignment w:val="center"/>
              <w:rPr>
                <w:rFonts w:hint="eastAsia" w:ascii="宋体" w:hAnsi="宋体" w:cs="宋体"/>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采购（具体金额及施工工艺以招标清单为准）</w:t>
            </w:r>
          </w:p>
        </w:tc>
      </w:tr>
      <w:tr w14:paraId="45D5D0CF">
        <w:tblPrEx>
          <w:tblCellMar>
            <w:top w:w="0" w:type="dxa"/>
            <w:left w:w="108" w:type="dxa"/>
            <w:bottom w:w="0" w:type="dxa"/>
            <w:right w:w="108" w:type="dxa"/>
          </w:tblCellMar>
        </w:tblPrEx>
        <w:trPr>
          <w:trHeight w:val="545"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54D9">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8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并网柜基础</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D8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8309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791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75" w:type="dxa"/>
            <w:vMerge w:val="continue"/>
            <w:tcBorders>
              <w:left w:val="single" w:color="auto" w:sz="4" w:space="0"/>
              <w:bottom w:val="single" w:color="auto" w:sz="4" w:space="0"/>
              <w:right w:val="single" w:color="auto" w:sz="4" w:space="0"/>
            </w:tcBorders>
            <w:shd w:val="clear" w:color="auto" w:fill="auto"/>
            <w:noWrap/>
            <w:vAlign w:val="center"/>
          </w:tcPr>
          <w:p w14:paraId="28FC9D57">
            <w:pPr>
              <w:keepNext w:val="0"/>
              <w:keepLines w:val="0"/>
              <w:widowControl/>
              <w:suppressLineNumbers w:val="0"/>
              <w:jc w:val="left"/>
              <w:textAlignment w:val="center"/>
              <w:rPr>
                <w:rFonts w:hint="eastAsia" w:ascii="宋体" w:hAnsi="宋体" w:cs="宋体"/>
                <w:color w:val="000000"/>
                <w:kern w:val="0"/>
                <w:sz w:val="21"/>
                <w:szCs w:val="21"/>
                <w:u w:val="none"/>
                <w:lang w:bidi="ar"/>
              </w:rPr>
            </w:pPr>
          </w:p>
        </w:tc>
      </w:tr>
      <w:tr w14:paraId="7A87E07B">
        <w:tblPrEx>
          <w:tblCellMar>
            <w:top w:w="0" w:type="dxa"/>
            <w:left w:w="108" w:type="dxa"/>
            <w:bottom w:w="0" w:type="dxa"/>
            <w:right w:w="108" w:type="dxa"/>
          </w:tblCellMar>
        </w:tblPrEx>
        <w:trPr>
          <w:trHeight w:val="575"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78F3">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B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直埋管道</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72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2孔φ100镀锌钢管埋管</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1C68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62C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675" w:type="dxa"/>
            <w:vMerge w:val="restart"/>
            <w:tcBorders>
              <w:top w:val="single" w:color="auto" w:sz="4" w:space="0"/>
              <w:left w:val="single" w:color="auto" w:sz="4" w:space="0"/>
              <w:right w:val="single" w:color="auto" w:sz="4" w:space="0"/>
            </w:tcBorders>
            <w:shd w:val="clear" w:color="auto" w:fill="auto"/>
            <w:noWrap/>
            <w:vAlign w:val="center"/>
          </w:tcPr>
          <w:p w14:paraId="3E7A6581">
            <w:pPr>
              <w:keepNext w:val="0"/>
              <w:keepLines w:val="0"/>
              <w:widowControl/>
              <w:suppressLineNumbers w:val="0"/>
              <w:jc w:val="center"/>
              <w:textAlignment w:val="center"/>
              <w:rPr>
                <w:rFonts w:hint="eastAsia" w:ascii="宋体" w:hAnsi="宋体" w:cs="宋体"/>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电缆管道直埋采购（具体金额及施工工艺以招标清单为准）</w:t>
            </w:r>
          </w:p>
        </w:tc>
      </w:tr>
      <w:tr w14:paraId="4B02902A">
        <w:tblPrEx>
          <w:tblCellMar>
            <w:top w:w="0" w:type="dxa"/>
            <w:left w:w="108" w:type="dxa"/>
            <w:bottom w:w="0" w:type="dxa"/>
            <w:right w:w="108" w:type="dxa"/>
          </w:tblCellMar>
        </w:tblPrEx>
        <w:trPr>
          <w:trHeight w:val="625"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00BB">
            <w:pPr>
              <w:keepNext w:val="0"/>
              <w:keepLines w:val="0"/>
              <w:widowControl/>
              <w:suppressLineNumbers w:val="0"/>
              <w:jc w:val="center"/>
              <w:textAlignment w:val="center"/>
              <w:rPr>
                <w:rFonts w:hint="eastAsia" w:ascii="等线" w:hAnsi="等线" w:eastAsia="等线" w:cs="等线"/>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00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直埋管道</w:t>
            </w:r>
          </w:p>
        </w:tc>
        <w:tc>
          <w:tcPr>
            <w:tcW w:w="501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9228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3孔φ100镀锌钢管埋管</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8523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D55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675" w:type="dxa"/>
            <w:vMerge w:val="continue"/>
            <w:tcBorders>
              <w:left w:val="single" w:color="auto" w:sz="4" w:space="0"/>
              <w:right w:val="single" w:color="auto" w:sz="4" w:space="0"/>
            </w:tcBorders>
            <w:shd w:val="clear" w:color="auto" w:fill="auto"/>
            <w:noWrap/>
            <w:vAlign w:val="center"/>
          </w:tcPr>
          <w:p w14:paraId="58315CB8">
            <w:pPr>
              <w:keepNext w:val="0"/>
              <w:keepLines w:val="0"/>
              <w:widowControl/>
              <w:suppressLineNumbers w:val="0"/>
              <w:jc w:val="center"/>
              <w:textAlignment w:val="center"/>
              <w:rPr>
                <w:rFonts w:hint="eastAsia" w:ascii="宋体" w:hAnsi="宋体" w:cs="宋体"/>
                <w:color w:val="000000"/>
                <w:kern w:val="0"/>
                <w:sz w:val="16"/>
                <w:szCs w:val="16"/>
                <w:u w:val="none"/>
                <w:lang w:bidi="ar"/>
              </w:rPr>
            </w:pPr>
          </w:p>
        </w:tc>
      </w:tr>
      <w:tr w14:paraId="5520AF51">
        <w:tblPrEx>
          <w:tblCellMar>
            <w:top w:w="0" w:type="dxa"/>
            <w:left w:w="108" w:type="dxa"/>
            <w:bottom w:w="0" w:type="dxa"/>
            <w:right w:w="108" w:type="dxa"/>
          </w:tblCellMar>
        </w:tblPrEx>
        <w:trPr>
          <w:trHeight w:val="510"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D0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E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破复沥青路面</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D6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3A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平方米</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388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675" w:type="dxa"/>
            <w:vMerge w:val="continue"/>
            <w:tcBorders>
              <w:left w:val="single" w:color="auto" w:sz="4" w:space="0"/>
              <w:bottom w:val="single" w:color="auto" w:sz="4" w:space="0"/>
              <w:right w:val="single" w:color="auto" w:sz="4" w:space="0"/>
            </w:tcBorders>
            <w:shd w:val="clear" w:color="auto" w:fill="auto"/>
            <w:noWrap/>
            <w:vAlign w:val="center"/>
          </w:tcPr>
          <w:p w14:paraId="2835D802">
            <w:pPr>
              <w:keepNext w:val="0"/>
              <w:keepLines w:val="0"/>
              <w:widowControl/>
              <w:suppressLineNumbers w:val="0"/>
              <w:jc w:val="center"/>
              <w:textAlignment w:val="center"/>
              <w:rPr>
                <w:rFonts w:hint="eastAsia" w:ascii="宋体" w:hAnsi="宋体" w:cs="宋体"/>
                <w:color w:val="000000"/>
                <w:kern w:val="0"/>
                <w:sz w:val="16"/>
                <w:szCs w:val="16"/>
                <w:u w:val="none"/>
                <w:lang w:bidi="ar"/>
              </w:rPr>
            </w:pPr>
          </w:p>
        </w:tc>
      </w:tr>
      <w:tr w14:paraId="3268F3C8">
        <w:tblPrEx>
          <w:tblCellMar>
            <w:top w:w="0" w:type="dxa"/>
            <w:left w:w="108" w:type="dxa"/>
            <w:bottom w:w="0" w:type="dxa"/>
            <w:right w:w="108" w:type="dxa"/>
          </w:tblCellMar>
        </w:tblPrEx>
        <w:trPr>
          <w:trHeight w:val="2263"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8FA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8D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车棚基础</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91C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1.±0.000为地面铺装标高；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2.地基的承载能力按≥120KPa设计；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3.钢筋绑扎及砼保护层厚度按照现行规范操作；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4.基础开挖后，要等设计、监理或相关人员验槽后再开始下道工序；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5.基础砼标号采用C30，垫层砼标号采用C15；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6.详见图纸。</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FD0C4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处</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BB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843C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r>
              <w:rPr>
                <w:rFonts w:hint="eastAsia" w:ascii="宋体" w:hAnsi="宋体" w:eastAsia="宋体" w:cs="宋体"/>
                <w:i w:val="0"/>
                <w:iCs w:val="0"/>
                <w:color w:val="000000"/>
                <w:kern w:val="0"/>
                <w:sz w:val="21"/>
                <w:szCs w:val="21"/>
                <w:u w:val="none"/>
                <w:lang w:val="en-US" w:eastAsia="zh-CN" w:bidi="ar"/>
              </w:rPr>
              <w:t>车棚基础采购（具体金额及施工工艺以招标清单为准）</w:t>
            </w:r>
          </w:p>
        </w:tc>
      </w:tr>
      <w:tr w14:paraId="6553E062">
        <w:tblPrEx>
          <w:tblCellMar>
            <w:top w:w="0" w:type="dxa"/>
            <w:left w:w="108" w:type="dxa"/>
            <w:bottom w:w="0" w:type="dxa"/>
            <w:right w:w="108" w:type="dxa"/>
          </w:tblCellMar>
        </w:tblPrEx>
        <w:trPr>
          <w:trHeight w:val="1252"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6C7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35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水清洗系统</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DE8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1.包含系统安装调试；2.材料包含但不限于DN40闸阀、DN32截止阀、DN25球阀、DN25皮带龙头、DN25PPR管道、DN32PPR管道、DN40PPR管道等材料；3.详见图纸</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CA706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CC1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270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r>
              <w:rPr>
                <w:rFonts w:hint="eastAsia" w:ascii="宋体" w:hAnsi="宋体" w:eastAsia="宋体" w:cs="宋体"/>
                <w:i w:val="0"/>
                <w:iCs w:val="0"/>
                <w:color w:val="000000"/>
                <w:kern w:val="0"/>
                <w:sz w:val="21"/>
                <w:szCs w:val="21"/>
                <w:u w:val="none"/>
                <w:lang w:val="en-US" w:eastAsia="zh-CN" w:bidi="ar"/>
              </w:rPr>
              <w:t>水清洗系统，采购（具体金额及施工工艺以招标清单为准）</w:t>
            </w:r>
          </w:p>
        </w:tc>
      </w:tr>
      <w:tr w14:paraId="0E604CFD">
        <w:tblPrEx>
          <w:tblCellMar>
            <w:top w:w="0" w:type="dxa"/>
            <w:left w:w="108" w:type="dxa"/>
            <w:bottom w:w="0" w:type="dxa"/>
            <w:right w:w="108" w:type="dxa"/>
          </w:tblCellMar>
        </w:tblPrEx>
        <w:trPr>
          <w:trHeight w:val="917"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75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63E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混凝土屋面逆变器基础及支架</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4B0C">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1.包含热镀锌支架焊接；2.材料包含但不限于各型号∠50x5等边角钢，∠63x5角钢，彩钢板，混凝土配重块，含螺母、平垫、弹片等材料；3.详见图纸</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7E803C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3A1FF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675" w:type="dxa"/>
            <w:vMerge w:val="restart"/>
            <w:tcBorders>
              <w:top w:val="single" w:color="auto" w:sz="4" w:space="0"/>
              <w:left w:val="single" w:color="auto" w:sz="4" w:space="0"/>
              <w:right w:val="single" w:color="auto" w:sz="4" w:space="0"/>
            </w:tcBorders>
            <w:shd w:val="clear" w:color="auto" w:fill="auto"/>
            <w:noWrap/>
            <w:vAlign w:val="center"/>
          </w:tcPr>
          <w:p w14:paraId="256C87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r>
              <w:rPr>
                <w:rFonts w:hint="eastAsia" w:ascii="宋体" w:hAnsi="宋体" w:eastAsia="宋体" w:cs="宋体"/>
                <w:i w:val="0"/>
                <w:iCs w:val="0"/>
                <w:color w:val="000000"/>
                <w:kern w:val="0"/>
                <w:sz w:val="21"/>
                <w:szCs w:val="21"/>
                <w:u w:val="none"/>
                <w:lang w:val="en-US" w:eastAsia="zh-CN" w:bidi="ar"/>
              </w:rPr>
              <w:t>逆变器支架及基础（具体金额及施工工艺以招标清单为准）</w:t>
            </w:r>
          </w:p>
        </w:tc>
      </w:tr>
      <w:tr w14:paraId="37FF6DE6">
        <w:tblPrEx>
          <w:tblCellMar>
            <w:top w:w="0" w:type="dxa"/>
            <w:left w:w="108" w:type="dxa"/>
            <w:bottom w:w="0" w:type="dxa"/>
            <w:right w:w="108" w:type="dxa"/>
          </w:tblCellMar>
        </w:tblPrEx>
        <w:trPr>
          <w:trHeight w:val="814"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612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BE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车棚逆变器支架</w:t>
            </w:r>
          </w:p>
        </w:tc>
        <w:tc>
          <w:tcPr>
            <w:tcW w:w="5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F7F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逆变器支架，材料包含但不限于各型号∠40x4等边角钢，钢材材质为Q235B，详见图纸</w:t>
            </w:r>
          </w:p>
        </w:tc>
        <w:tc>
          <w:tcPr>
            <w:tcW w:w="8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5DB034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1BF46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675" w:type="dxa"/>
            <w:vMerge w:val="continue"/>
            <w:tcBorders>
              <w:left w:val="single" w:color="auto" w:sz="4" w:space="0"/>
              <w:bottom w:val="single" w:color="auto" w:sz="4" w:space="0"/>
              <w:right w:val="single" w:color="auto" w:sz="4" w:space="0"/>
            </w:tcBorders>
            <w:shd w:val="clear" w:color="auto" w:fill="auto"/>
            <w:noWrap/>
            <w:vAlign w:val="center"/>
          </w:tcPr>
          <w:p w14:paraId="28654D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bl>
    <w:p w14:paraId="4145366D">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474CA612">
      <w:pPr>
        <w:spacing w:line="360" w:lineRule="auto"/>
        <w:ind w:firstLine="480" w:firstLineChars="200"/>
        <w:rPr>
          <w:color w:val="333333"/>
          <w:sz w:val="24"/>
          <w:szCs w:val="24"/>
        </w:rPr>
      </w:pPr>
      <w:r>
        <w:rPr>
          <w:rFonts w:hint="eastAsia"/>
          <w:color w:val="333333"/>
          <w:sz w:val="24"/>
          <w:szCs w:val="24"/>
        </w:rPr>
        <w:t>4.计划工期：</w:t>
      </w:r>
    </w:p>
    <w:p w14:paraId="5DBAE481">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20</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10</w:t>
      </w:r>
      <w:r>
        <w:rPr>
          <w:rFonts w:hint="eastAsia"/>
          <w:color w:val="333333"/>
          <w:sz w:val="24"/>
          <w:szCs w:val="24"/>
        </w:rPr>
        <w:t>月</w:t>
      </w:r>
      <w:r>
        <w:rPr>
          <w:rFonts w:hint="eastAsia"/>
          <w:color w:val="333333"/>
          <w:sz w:val="24"/>
          <w:szCs w:val="24"/>
          <w:lang w:val="en-US" w:eastAsia="zh-CN"/>
        </w:rPr>
        <w:t>25</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15</w:t>
      </w:r>
      <w:r>
        <w:rPr>
          <w:rFonts w:hint="eastAsia"/>
          <w:color w:val="333333"/>
          <w:sz w:val="24"/>
          <w:szCs w:val="24"/>
        </w:rPr>
        <w:t>日，中标人签订合同后按照工期要求组织进场施工。</w:t>
      </w:r>
    </w:p>
    <w:p w14:paraId="097A1734">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22E6803B">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 xml:space="preserve">407793.63 </w:t>
      </w:r>
      <w:r>
        <w:rPr>
          <w:rFonts w:hint="eastAsia"/>
          <w:color w:val="333333"/>
          <w:sz w:val="24"/>
          <w:szCs w:val="24"/>
        </w:rPr>
        <w:t>元。（超出限价视作无效标处理）。</w:t>
      </w:r>
    </w:p>
    <w:p w14:paraId="12E40A7D">
      <w:pPr>
        <w:pStyle w:val="2"/>
        <w:spacing w:after="0" w:line="360" w:lineRule="auto"/>
        <w:ind w:left="0" w:leftChars="0" w:firstLine="480"/>
        <w:rPr>
          <w:color w:val="333333"/>
          <w:sz w:val="24"/>
        </w:rPr>
      </w:pPr>
      <w:r>
        <w:rPr>
          <w:rFonts w:hint="eastAsia"/>
          <w:color w:val="333333"/>
          <w:sz w:val="24"/>
        </w:rPr>
        <w:t>7.合同形式：本工程采用固定单价合同。</w:t>
      </w:r>
    </w:p>
    <w:p w14:paraId="22912BA3">
      <w:pPr>
        <w:spacing w:line="360" w:lineRule="auto"/>
        <w:rPr>
          <w:b/>
          <w:color w:val="333333"/>
          <w:sz w:val="24"/>
          <w:szCs w:val="24"/>
        </w:rPr>
      </w:pPr>
      <w:r>
        <w:rPr>
          <w:rFonts w:hint="eastAsia"/>
          <w:b/>
          <w:color w:val="333333"/>
          <w:sz w:val="24"/>
          <w:szCs w:val="24"/>
        </w:rPr>
        <w:t>三、投标人的资格要求：</w:t>
      </w:r>
    </w:p>
    <w:p w14:paraId="2556050D">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2C4E9E63">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1FC8771">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2025年内</w:t>
      </w:r>
      <w:r>
        <w:rPr>
          <w:rFonts w:hint="eastAsia"/>
          <w:color w:val="333333"/>
          <w:sz w:val="24"/>
          <w:szCs w:val="24"/>
          <w:highlight w:val="none"/>
          <w:lang w:eastAsia="zh-CN"/>
        </w:rPr>
        <w:t>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75EBB36B">
      <w:pPr>
        <w:pStyle w:val="18"/>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金额不低于30万元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30ACE87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349BEEB2">
      <w:pPr>
        <w:spacing w:line="360" w:lineRule="auto"/>
        <w:ind w:firstLine="480" w:firstLineChars="200"/>
        <w:rPr>
          <w:rFonts w:hint="eastAsia" w:eastAsia="宋体"/>
          <w:b/>
          <w:color w:val="333333"/>
          <w:sz w:val="24"/>
          <w:szCs w:val="24"/>
          <w:lang w:eastAsia="zh-CN"/>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建造师及安全员需提供</w:t>
      </w:r>
      <w:r>
        <w:rPr>
          <w:rFonts w:hint="eastAsia"/>
          <w:color w:val="333333"/>
          <w:sz w:val="24"/>
          <w:szCs w:val="24"/>
          <w:lang w:eastAsia="zh-CN"/>
        </w:rPr>
        <w:t>2025年01月-2025年06月</w:t>
      </w:r>
      <w:r>
        <w:rPr>
          <w:rFonts w:hint="eastAsia"/>
          <w:color w:val="333333"/>
          <w:sz w:val="24"/>
          <w:szCs w:val="24"/>
        </w:rPr>
        <w:t>社保缴纳证明）</w:t>
      </w:r>
      <w:r>
        <w:rPr>
          <w:rFonts w:hint="eastAsia"/>
          <w:color w:val="333333"/>
          <w:sz w:val="24"/>
          <w:szCs w:val="24"/>
          <w:lang w:eastAsia="zh-CN"/>
        </w:rPr>
        <w:t>；</w:t>
      </w:r>
    </w:p>
    <w:p w14:paraId="5A56AD51">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6AA4C8DC">
      <w:pPr>
        <w:spacing w:line="360" w:lineRule="auto"/>
        <w:rPr>
          <w:b/>
          <w:color w:val="333333"/>
          <w:sz w:val="24"/>
          <w:szCs w:val="24"/>
        </w:rPr>
      </w:pPr>
      <w:r>
        <w:rPr>
          <w:rFonts w:hint="eastAsia"/>
          <w:b/>
          <w:color w:val="333333"/>
          <w:sz w:val="24"/>
          <w:szCs w:val="24"/>
        </w:rPr>
        <w:t>四、获取招标文件</w:t>
      </w:r>
    </w:p>
    <w:p w14:paraId="1809471E">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2025年09月</w:t>
      </w:r>
      <w:r>
        <w:rPr>
          <w:rFonts w:hint="eastAsia"/>
          <w:color w:val="333333"/>
          <w:sz w:val="24"/>
          <w:szCs w:val="24"/>
          <w:lang w:val="en-US" w:eastAsia="zh-CN"/>
        </w:rPr>
        <w:t>28</w:t>
      </w:r>
      <w:r>
        <w:rPr>
          <w:rFonts w:hint="eastAsia"/>
          <w:color w:val="333333"/>
          <w:sz w:val="24"/>
          <w:szCs w:val="24"/>
          <w:lang w:eastAsia="zh-CN"/>
        </w:rPr>
        <w:t>日</w:t>
      </w:r>
      <w:r>
        <w:rPr>
          <w:rFonts w:hint="eastAsia"/>
          <w:color w:val="333333"/>
          <w:sz w:val="24"/>
          <w:szCs w:val="24"/>
          <w:lang w:val="en-US" w:eastAsia="zh-CN"/>
        </w:rPr>
        <w:t>至2025年10月11日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41368C9C">
      <w:pPr>
        <w:spacing w:line="360" w:lineRule="auto"/>
        <w:rPr>
          <w:b/>
          <w:color w:val="333333"/>
          <w:sz w:val="24"/>
          <w:szCs w:val="24"/>
        </w:rPr>
      </w:pPr>
      <w:r>
        <w:rPr>
          <w:rFonts w:hint="eastAsia"/>
          <w:b/>
          <w:color w:val="333333"/>
          <w:sz w:val="24"/>
          <w:szCs w:val="24"/>
        </w:rPr>
        <w:t>五、提交投标文件截止时间、开标时间和地点</w:t>
      </w:r>
    </w:p>
    <w:p w14:paraId="046816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10月13日09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7A3C2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633F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5EF67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3FE4AD6B">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27BF03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674BC21F">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488F5047">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w:t>
      </w:r>
      <w:r>
        <w:rPr>
          <w:rFonts w:hint="eastAsia"/>
          <w:color w:val="333333"/>
          <w:kern w:val="2"/>
          <w:sz w:val="24"/>
          <w:highlight w:val="yellow"/>
          <w:lang w:val="en-US" w:eastAsia="zh-CN"/>
        </w:rPr>
        <w:t>合理低价法</w:t>
      </w:r>
      <w:r>
        <w:rPr>
          <w:rFonts w:hint="eastAsia" w:cs="Times New Roman"/>
          <w:color w:val="333333"/>
          <w:kern w:val="2"/>
          <w:sz w:val="24"/>
          <w:szCs w:val="24"/>
          <w:lang w:val="en-US" w:eastAsia="zh-CN" w:bidi="ar-SA"/>
        </w:rPr>
        <w:t>。</w:t>
      </w:r>
    </w:p>
    <w:p w14:paraId="53242DAF">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0FBB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14</w:t>
      </w:r>
      <w:r>
        <w:rPr>
          <w:rFonts w:hint="eastAsia"/>
          <w:color w:val="333333"/>
          <w:sz w:val="24"/>
          <w:szCs w:val="24"/>
        </w:rPr>
        <w:t>天。</w:t>
      </w:r>
    </w:p>
    <w:p w14:paraId="12751392">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57D77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04A486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0707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9D7B5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捌仟元整</w:t>
      </w:r>
      <w:r>
        <w:rPr>
          <w:rFonts w:hint="eastAsia"/>
          <w:color w:val="333333"/>
          <w:sz w:val="24"/>
          <w:szCs w:val="24"/>
        </w:rPr>
        <w:t>（￥</w:t>
      </w:r>
      <w:r>
        <w:rPr>
          <w:rFonts w:hint="eastAsia"/>
          <w:color w:val="333333"/>
          <w:sz w:val="24"/>
          <w:szCs w:val="24"/>
          <w:lang w:val="en-US" w:eastAsia="zh-CN"/>
        </w:rPr>
        <w:t>8000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EB4FF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1120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42D66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81705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39D1B3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0242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550513B2">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BB3C4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228C18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68B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0B557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7BD42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7621939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145E6B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A6A2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C840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王先生    </w:t>
      </w:r>
    </w:p>
    <w:p w14:paraId="3747B7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话：19901572108           </w:t>
      </w:r>
    </w:p>
    <w:p w14:paraId="04B9CAAA">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11F91641">
      <w:pPr>
        <w:ind w:left="283" w:leftChars="135"/>
        <w:jc w:val="right"/>
        <w:rPr>
          <w:rFonts w:cs="仿宋" w:asciiTheme="minorEastAsia" w:hAnsiTheme="minorEastAsia" w:eastAsiaTheme="minorEastAsia"/>
          <w:bCs/>
          <w:snapToGrid w:val="0"/>
          <w:kern w:val="0"/>
          <w:szCs w:val="21"/>
        </w:rPr>
      </w:pPr>
      <w:r>
        <w:rPr>
          <w:rFonts w:hint="eastAsia"/>
          <w:color w:val="333333"/>
          <w:sz w:val="24"/>
          <w:szCs w:val="24"/>
          <w:lang w:eastAsia="zh-CN"/>
        </w:rPr>
        <w:t>2025年</w:t>
      </w:r>
      <w:r>
        <w:rPr>
          <w:rFonts w:hint="eastAsia"/>
          <w:color w:val="333333"/>
          <w:sz w:val="24"/>
          <w:szCs w:val="24"/>
          <w:lang w:val="en-US" w:eastAsia="zh-CN"/>
        </w:rPr>
        <w:t>09</w:t>
      </w:r>
      <w:r>
        <w:rPr>
          <w:rFonts w:hint="eastAsia"/>
          <w:color w:val="333333"/>
          <w:sz w:val="24"/>
          <w:szCs w:val="24"/>
          <w:lang w:eastAsia="zh-CN"/>
        </w:rPr>
        <w:t>月28日</w:t>
      </w:r>
      <w:bookmarkEnd w:id="0"/>
      <w:bookmarkEnd w:id="1"/>
      <w:bookmarkEnd w:id="2"/>
      <w:bookmarkEnd w:id="3"/>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30"/>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3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0A29DC"/>
    <w:rsid w:val="01401F5A"/>
    <w:rsid w:val="017A1B4A"/>
    <w:rsid w:val="01914D90"/>
    <w:rsid w:val="01CF1530"/>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B46198"/>
    <w:rsid w:val="06B71E3D"/>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9007C2"/>
    <w:rsid w:val="11A24AC2"/>
    <w:rsid w:val="11D84CA0"/>
    <w:rsid w:val="11F56D91"/>
    <w:rsid w:val="11FD7271"/>
    <w:rsid w:val="11FE0430"/>
    <w:rsid w:val="127E5B35"/>
    <w:rsid w:val="12934CCE"/>
    <w:rsid w:val="12BE2F03"/>
    <w:rsid w:val="12F62DC0"/>
    <w:rsid w:val="136416B2"/>
    <w:rsid w:val="137D3EAF"/>
    <w:rsid w:val="13997894"/>
    <w:rsid w:val="13B42718"/>
    <w:rsid w:val="13BF31B2"/>
    <w:rsid w:val="1409156C"/>
    <w:rsid w:val="14134D89"/>
    <w:rsid w:val="14733F9D"/>
    <w:rsid w:val="148F590C"/>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B84877"/>
    <w:rsid w:val="1ACB28DC"/>
    <w:rsid w:val="1AE57FEC"/>
    <w:rsid w:val="1AFE14D4"/>
    <w:rsid w:val="1AFE5D99"/>
    <w:rsid w:val="1B2113CB"/>
    <w:rsid w:val="1B4B4FAC"/>
    <w:rsid w:val="1B754A9E"/>
    <w:rsid w:val="1BA15565"/>
    <w:rsid w:val="1BEE73F8"/>
    <w:rsid w:val="1C040DB8"/>
    <w:rsid w:val="1C071B9A"/>
    <w:rsid w:val="1C081DE6"/>
    <w:rsid w:val="1C305283"/>
    <w:rsid w:val="1C7918F4"/>
    <w:rsid w:val="1C857E2E"/>
    <w:rsid w:val="1CAF3FF5"/>
    <w:rsid w:val="1CDA2E0B"/>
    <w:rsid w:val="1CDC320A"/>
    <w:rsid w:val="1CF848D5"/>
    <w:rsid w:val="1CFC4B12"/>
    <w:rsid w:val="1D125B8F"/>
    <w:rsid w:val="1D21367D"/>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2E47C22"/>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A94C43"/>
    <w:rsid w:val="2DE0224B"/>
    <w:rsid w:val="2DE564C4"/>
    <w:rsid w:val="2E13519A"/>
    <w:rsid w:val="2E70537D"/>
    <w:rsid w:val="2EC01828"/>
    <w:rsid w:val="2EC508FF"/>
    <w:rsid w:val="2ED13E81"/>
    <w:rsid w:val="2F743832"/>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42333C"/>
    <w:rsid w:val="385B52F0"/>
    <w:rsid w:val="390A2872"/>
    <w:rsid w:val="39164DFD"/>
    <w:rsid w:val="392F4087"/>
    <w:rsid w:val="39EA336A"/>
    <w:rsid w:val="3A59760D"/>
    <w:rsid w:val="3A9B5AC8"/>
    <w:rsid w:val="3AB2479B"/>
    <w:rsid w:val="3AB9039B"/>
    <w:rsid w:val="3B567FF1"/>
    <w:rsid w:val="3B6536E0"/>
    <w:rsid w:val="3B8306A6"/>
    <w:rsid w:val="3C0607D5"/>
    <w:rsid w:val="3C407945"/>
    <w:rsid w:val="3C526A0A"/>
    <w:rsid w:val="3C8D7BE0"/>
    <w:rsid w:val="3CC473A9"/>
    <w:rsid w:val="3D0E32EB"/>
    <w:rsid w:val="3D5C3F89"/>
    <w:rsid w:val="3D6030D4"/>
    <w:rsid w:val="3D8E75CE"/>
    <w:rsid w:val="3D9B027B"/>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7D2AD5"/>
    <w:rsid w:val="44894F93"/>
    <w:rsid w:val="449C6088"/>
    <w:rsid w:val="44AF78BC"/>
    <w:rsid w:val="44C42241"/>
    <w:rsid w:val="44F63BD9"/>
    <w:rsid w:val="45354ED9"/>
    <w:rsid w:val="45543410"/>
    <w:rsid w:val="457B0D80"/>
    <w:rsid w:val="469456C6"/>
    <w:rsid w:val="46EB62FC"/>
    <w:rsid w:val="46FF153C"/>
    <w:rsid w:val="47223294"/>
    <w:rsid w:val="472F724D"/>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AAF4F82"/>
    <w:rsid w:val="4BBF4D72"/>
    <w:rsid w:val="4BF56241"/>
    <w:rsid w:val="4C7E180C"/>
    <w:rsid w:val="4CA13779"/>
    <w:rsid w:val="4CC71734"/>
    <w:rsid w:val="4CEE0452"/>
    <w:rsid w:val="4D1A5DC0"/>
    <w:rsid w:val="4D4D1254"/>
    <w:rsid w:val="4D884849"/>
    <w:rsid w:val="4D92310A"/>
    <w:rsid w:val="4DCE40EF"/>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4EE1F9C"/>
    <w:rsid w:val="551C6C64"/>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0C3D15"/>
    <w:rsid w:val="5A6B7AE3"/>
    <w:rsid w:val="5AB16DF9"/>
    <w:rsid w:val="5AB95D36"/>
    <w:rsid w:val="5B0B5DC1"/>
    <w:rsid w:val="5B4D2B0E"/>
    <w:rsid w:val="5B5B0FE0"/>
    <w:rsid w:val="5BCB3316"/>
    <w:rsid w:val="5BDE40FA"/>
    <w:rsid w:val="5C9C5B76"/>
    <w:rsid w:val="5D7B4CA9"/>
    <w:rsid w:val="5D837AF2"/>
    <w:rsid w:val="5DFE7D26"/>
    <w:rsid w:val="5E190CDE"/>
    <w:rsid w:val="5ECF711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2626AC"/>
    <w:rsid w:val="633D0200"/>
    <w:rsid w:val="636A68BF"/>
    <w:rsid w:val="63CA2FCC"/>
    <w:rsid w:val="63F175FC"/>
    <w:rsid w:val="63FF44D2"/>
    <w:rsid w:val="64051B48"/>
    <w:rsid w:val="6448079A"/>
    <w:rsid w:val="644A7434"/>
    <w:rsid w:val="647226A9"/>
    <w:rsid w:val="64F035E3"/>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C5EF1"/>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C1785B"/>
    <w:rsid w:val="6F8A7F3D"/>
    <w:rsid w:val="6FB06096"/>
    <w:rsid w:val="6FC01244"/>
    <w:rsid w:val="6FCA6A36"/>
    <w:rsid w:val="703A75A8"/>
    <w:rsid w:val="708811A7"/>
    <w:rsid w:val="717736E3"/>
    <w:rsid w:val="71B72890"/>
    <w:rsid w:val="71D90936"/>
    <w:rsid w:val="72BA3507"/>
    <w:rsid w:val="735D4687"/>
    <w:rsid w:val="736753A2"/>
    <w:rsid w:val="738D1AFA"/>
    <w:rsid w:val="73F066FD"/>
    <w:rsid w:val="73F379A7"/>
    <w:rsid w:val="74232B4A"/>
    <w:rsid w:val="74250EB2"/>
    <w:rsid w:val="742B7A92"/>
    <w:rsid w:val="74324450"/>
    <w:rsid w:val="743C3E98"/>
    <w:rsid w:val="74543EDF"/>
    <w:rsid w:val="746350BC"/>
    <w:rsid w:val="750A24A6"/>
    <w:rsid w:val="75177B8E"/>
    <w:rsid w:val="75260293"/>
    <w:rsid w:val="75276465"/>
    <w:rsid w:val="764C47C8"/>
    <w:rsid w:val="76BC69ED"/>
    <w:rsid w:val="76E34182"/>
    <w:rsid w:val="76E60869"/>
    <w:rsid w:val="77533EFB"/>
    <w:rsid w:val="77620854"/>
    <w:rsid w:val="777E6738"/>
    <w:rsid w:val="778E7280"/>
    <w:rsid w:val="77CE4490"/>
    <w:rsid w:val="77D3030E"/>
    <w:rsid w:val="79104606"/>
    <w:rsid w:val="79660E24"/>
    <w:rsid w:val="798C63B0"/>
    <w:rsid w:val="7997576F"/>
    <w:rsid w:val="7A134065"/>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6">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7">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8">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10">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1">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2">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3">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next w:val="4"/>
    <w:link w:val="127"/>
    <w:autoRedefine/>
    <w:unhideWhenUsed/>
    <w:qFormat/>
    <w:uiPriority w:val="0"/>
    <w:pPr>
      <w:spacing w:after="120"/>
      <w:ind w:left="420" w:leftChars="200"/>
    </w:pPr>
    <w:rPr>
      <w:kern w:val="0"/>
      <w:sz w:val="20"/>
      <w:szCs w:val="24"/>
    </w:rPr>
  </w:style>
  <w:style w:type="paragraph" w:styleId="4">
    <w:name w:val="envelope return"/>
    <w:basedOn w:val="1"/>
    <w:autoRedefine/>
    <w:unhideWhenUsed/>
    <w:qFormat/>
    <w:uiPriority w:val="0"/>
    <w:pPr>
      <w:snapToGrid w:val="0"/>
    </w:pPr>
    <w:rPr>
      <w:rFonts w:hint="eastAsia" w:ascii="Arial" w:hAnsi="Arial" w:cs="Arial"/>
      <w:szCs w:val="24"/>
    </w:rPr>
  </w:style>
  <w:style w:type="paragraph" w:styleId="14">
    <w:name w:val="toc 7"/>
    <w:basedOn w:val="1"/>
    <w:next w:val="1"/>
    <w:autoRedefine/>
    <w:qFormat/>
    <w:uiPriority w:val="0"/>
    <w:pPr>
      <w:ind w:left="2520" w:leftChars="1200"/>
    </w:pPr>
    <w:rPr>
      <w:rFonts w:ascii="Calibri" w:hAnsi="Calibri"/>
      <w:szCs w:val="22"/>
    </w:rPr>
  </w:style>
  <w:style w:type="paragraph" w:styleId="15">
    <w:name w:val="Normal Indent"/>
    <w:basedOn w:val="1"/>
    <w:link w:val="117"/>
    <w:autoRedefine/>
    <w:qFormat/>
    <w:uiPriority w:val="0"/>
    <w:pPr>
      <w:ind w:firstLine="420" w:firstLineChars="200"/>
    </w:pPr>
    <w:rPr>
      <w:rFonts w:ascii="Calibri" w:hAnsi="Calibri"/>
      <w:szCs w:val="24"/>
    </w:rPr>
  </w:style>
  <w:style w:type="paragraph" w:styleId="16">
    <w:name w:val="caption"/>
    <w:basedOn w:val="1"/>
    <w:next w:val="1"/>
    <w:autoRedefine/>
    <w:qFormat/>
    <w:uiPriority w:val="0"/>
    <w:rPr>
      <w:rFonts w:ascii="Cambria" w:hAnsi="Cambria" w:eastAsia="黑体"/>
      <w:sz w:val="20"/>
    </w:rPr>
  </w:style>
  <w:style w:type="paragraph" w:styleId="17">
    <w:name w:val="Document Map"/>
    <w:basedOn w:val="1"/>
    <w:link w:val="135"/>
    <w:autoRedefine/>
    <w:unhideWhenUsed/>
    <w:qFormat/>
    <w:uiPriority w:val="0"/>
    <w:pPr>
      <w:shd w:val="clear" w:color="auto" w:fill="000080"/>
    </w:pPr>
  </w:style>
  <w:style w:type="paragraph" w:styleId="18">
    <w:name w:val="annotation text"/>
    <w:basedOn w:val="1"/>
    <w:link w:val="100"/>
    <w:autoRedefine/>
    <w:unhideWhenUsed/>
    <w:qFormat/>
    <w:uiPriority w:val="0"/>
    <w:pPr>
      <w:jc w:val="left"/>
    </w:pPr>
    <w:rPr>
      <w:rFonts w:ascii="Calibri" w:hAnsi="Calibri"/>
      <w:kern w:val="0"/>
      <w:sz w:val="20"/>
    </w:rPr>
  </w:style>
  <w:style w:type="paragraph" w:styleId="19">
    <w:name w:val="Body Text 3"/>
    <w:basedOn w:val="1"/>
    <w:link w:val="153"/>
    <w:autoRedefine/>
    <w:unhideWhenUsed/>
    <w:qFormat/>
    <w:uiPriority w:val="0"/>
    <w:pPr>
      <w:spacing w:after="120"/>
    </w:pPr>
    <w:rPr>
      <w:rFonts w:ascii="Calibri" w:hAnsi="Calibri"/>
      <w:kern w:val="0"/>
      <w:sz w:val="16"/>
      <w:szCs w:val="16"/>
    </w:rPr>
  </w:style>
  <w:style w:type="paragraph" w:styleId="20">
    <w:name w:val="Body Text"/>
    <w:basedOn w:val="1"/>
    <w:next w:val="1"/>
    <w:link w:val="59"/>
    <w:autoRedefine/>
    <w:unhideWhenUsed/>
    <w:qFormat/>
    <w:uiPriority w:val="0"/>
    <w:pPr>
      <w:spacing w:after="120"/>
    </w:pPr>
  </w:style>
  <w:style w:type="paragraph" w:styleId="21">
    <w:name w:val="List 2"/>
    <w:basedOn w:val="1"/>
    <w:autoRedefine/>
    <w:qFormat/>
    <w:uiPriority w:val="0"/>
    <w:pPr>
      <w:ind w:left="100" w:leftChars="200" w:hanging="200" w:hangingChars="200"/>
    </w:pPr>
    <w:rPr>
      <w:szCs w:val="24"/>
    </w:rPr>
  </w:style>
  <w:style w:type="paragraph" w:styleId="22">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3">
    <w:name w:val="index 4"/>
    <w:basedOn w:val="1"/>
    <w:next w:val="1"/>
    <w:autoRedefine/>
    <w:qFormat/>
    <w:uiPriority w:val="0"/>
    <w:pPr>
      <w:ind w:left="600" w:leftChars="600"/>
    </w:pPr>
    <w:rPr>
      <w:szCs w:val="24"/>
    </w:rPr>
  </w:style>
  <w:style w:type="paragraph" w:styleId="24">
    <w:name w:val="toc 3"/>
    <w:basedOn w:val="1"/>
    <w:next w:val="1"/>
    <w:autoRedefine/>
    <w:unhideWhenUsed/>
    <w:qFormat/>
    <w:uiPriority w:val="39"/>
    <w:pPr>
      <w:ind w:left="840" w:leftChars="400"/>
    </w:pPr>
  </w:style>
  <w:style w:type="paragraph" w:styleId="25">
    <w:name w:val="Plain Text"/>
    <w:basedOn w:val="1"/>
    <w:link w:val="76"/>
    <w:autoRedefine/>
    <w:unhideWhenUsed/>
    <w:qFormat/>
    <w:uiPriority w:val="0"/>
    <w:pPr>
      <w:spacing w:line="300" w:lineRule="auto"/>
    </w:pPr>
    <w:rPr>
      <w:rFonts w:ascii="宋体" w:hAnsi="Courier New"/>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61"/>
    <w:autoRedefine/>
    <w:unhideWhenUsed/>
    <w:qFormat/>
    <w:uiPriority w:val="0"/>
    <w:pPr>
      <w:ind w:left="100" w:leftChars="2500"/>
    </w:pPr>
    <w:rPr>
      <w:szCs w:val="22"/>
    </w:rPr>
  </w:style>
  <w:style w:type="paragraph" w:styleId="28">
    <w:name w:val="Body Text Indent 2"/>
    <w:basedOn w:val="1"/>
    <w:link w:val="82"/>
    <w:autoRedefine/>
    <w:qFormat/>
    <w:uiPriority w:val="0"/>
    <w:pPr>
      <w:spacing w:after="120" w:line="480" w:lineRule="auto"/>
      <w:ind w:left="420" w:leftChars="200"/>
    </w:pPr>
    <w:rPr>
      <w:szCs w:val="24"/>
    </w:rPr>
  </w:style>
  <w:style w:type="paragraph" w:styleId="29">
    <w:name w:val="Balloon Text"/>
    <w:basedOn w:val="1"/>
    <w:link w:val="81"/>
    <w:autoRedefine/>
    <w:unhideWhenUsed/>
    <w:qFormat/>
    <w:uiPriority w:val="0"/>
    <w:rPr>
      <w:rFonts w:ascii="Calibri" w:hAnsi="Calibri"/>
      <w:kern w:val="0"/>
      <w:sz w:val="18"/>
      <w:szCs w:val="18"/>
    </w:rPr>
  </w:style>
  <w:style w:type="paragraph" w:styleId="30">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8"/>
    <w:next w:val="18"/>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20"/>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7"/>
    <w:autoRedefine/>
    <w:qFormat/>
    <w:uiPriority w:val="0"/>
    <w:rPr>
      <w:kern w:val="2"/>
      <w:sz w:val="21"/>
      <w:szCs w:val="22"/>
    </w:rPr>
  </w:style>
  <w:style w:type="character" w:customStyle="1" w:styleId="62">
    <w:name w:val="标题 6 Char"/>
    <w:link w:val="10"/>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5"/>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7"/>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9"/>
    <w:autoRedefine/>
    <w:qFormat/>
    <w:uiPriority w:val="0"/>
    <w:rPr>
      <w:rFonts w:ascii="Calibri" w:hAnsi="Calibri" w:eastAsia="宋体" w:cs="Times New Roman"/>
      <w:sz w:val="18"/>
      <w:szCs w:val="18"/>
    </w:rPr>
  </w:style>
  <w:style w:type="character" w:customStyle="1" w:styleId="82">
    <w:name w:val="正文文本缩进 2 Char"/>
    <w:link w:val="28"/>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20"/>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5"/>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8"/>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1"/>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2"/>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5"/>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6"/>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3"/>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7"/>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9"/>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9"/>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7"/>
    <w:link w:val="159"/>
    <w:autoRedefine/>
    <w:qFormat/>
    <w:uiPriority w:val="0"/>
    <w:pPr>
      <w:spacing w:line="413" w:lineRule="auto"/>
    </w:pPr>
    <w:rPr>
      <w:rFonts w:ascii="Arial" w:hAnsi="Arial"/>
      <w:sz w:val="24"/>
    </w:rPr>
  </w:style>
  <w:style w:type="character" w:customStyle="1" w:styleId="161">
    <w:name w:val="标题 4 Char"/>
    <w:link w:val="8"/>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30"/>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6"/>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7"/>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6"/>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5"/>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5"/>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7"/>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5"/>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7"/>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5"/>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5"/>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7"/>
    <w:qFormat/>
    <w:uiPriority w:val="0"/>
    <w:rPr>
      <w:rFonts w:ascii="Calibri" w:hAnsi="Calibri"/>
      <w:szCs w:val="24"/>
    </w:rPr>
  </w:style>
  <w:style w:type="paragraph" w:customStyle="1" w:styleId="277">
    <w:name w:val="样式 标题 3 + (中文) 黑体 小四 非加粗 段前: 7.8 磅 段后: 0 磅 行距: 固定值 20 磅"/>
    <w:basedOn w:val="7"/>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5"/>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16161</Words>
  <Characters>17536</Characters>
  <Lines>161</Lines>
  <Paragraphs>45</Paragraphs>
  <TotalTime>4</TotalTime>
  <ScaleCrop>false</ScaleCrop>
  <LinksUpToDate>false</LinksUpToDate>
  <CharactersWithSpaces>18613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2025-08-29T06:43:00Z</cp:lastPrinted>
  <dcterms:modified xsi:type="dcterms:W3CDTF">2025-09-29T08:46:34Z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