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C9982D">
      <w:pPr>
        <w:spacing w:line="560" w:lineRule="exact"/>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bookmarkStart w:id="0" w:name="_Toc317694228"/>
      <w:r>
        <w:rPr>
          <w:rFonts w:hint="eastAsia" w:asciiTheme="minorEastAsia" w:hAnsiTheme="minorEastAsia" w:eastAsiaTheme="minorEastAsia"/>
          <w:b/>
          <w:color w:val="000000" w:themeColor="text1"/>
          <w:sz w:val="36"/>
          <w:szCs w:val="36"/>
          <w:lang w:eastAsia="zh-CN"/>
          <w14:textFill>
            <w14:solidFill>
              <w14:schemeClr w14:val="tx1"/>
            </w14:solidFill>
          </w14:textFill>
        </w:rPr>
        <w:t>变电所高压开关柜拆装及系统调试项目</w:t>
      </w:r>
      <w:bookmarkStart w:id="1" w:name="_Toc25200"/>
      <w:bookmarkStart w:id="2" w:name="_Toc328381676"/>
      <w:bookmarkStart w:id="3" w:name="_Toc61871270"/>
      <w:r>
        <w:rPr>
          <w:rFonts w:hint="eastAsia" w:asciiTheme="minorEastAsia" w:hAnsiTheme="minorEastAsia" w:eastAsiaTheme="minorEastAsia"/>
          <w:b/>
          <w:color w:val="000000" w:themeColor="text1"/>
          <w:sz w:val="36"/>
          <w:szCs w:val="36"/>
          <w:lang w:eastAsia="zh-CN"/>
          <w14:textFill>
            <w14:solidFill>
              <w14:schemeClr w14:val="tx1"/>
            </w14:solidFill>
          </w14:textFill>
        </w:rPr>
        <w:t>招标公告</w:t>
      </w:r>
    </w:p>
    <w:p w14:paraId="44DE11C8">
      <w:pPr>
        <w:spacing w:line="360" w:lineRule="auto"/>
        <w:rPr>
          <w:b/>
          <w:color w:val="333333"/>
          <w:sz w:val="24"/>
          <w:szCs w:val="24"/>
        </w:rPr>
      </w:pPr>
      <w:r>
        <w:rPr>
          <w:rFonts w:hint="eastAsia"/>
          <w:b/>
          <w:color w:val="333333"/>
          <w:sz w:val="24"/>
          <w:szCs w:val="24"/>
        </w:rPr>
        <w:t>一、招标条件</w:t>
      </w:r>
    </w:p>
    <w:p w14:paraId="637A4C19">
      <w:pPr>
        <w:spacing w:line="360" w:lineRule="auto"/>
        <w:ind w:left="479" w:leftChars="228" w:firstLine="0" w:firstLineChars="0"/>
        <w:rPr>
          <w:rFonts w:hint="eastAsia"/>
          <w:color w:val="333333"/>
          <w:sz w:val="24"/>
          <w:szCs w:val="24"/>
          <w:u w:val="single"/>
          <w:lang w:eastAsia="zh-CN"/>
        </w:rPr>
      </w:pPr>
      <w:r>
        <w:rPr>
          <w:rFonts w:hint="eastAsia"/>
          <w:color w:val="333333"/>
          <w:sz w:val="24"/>
          <w:szCs w:val="24"/>
        </w:rPr>
        <w:t>本次招标项目：</w:t>
      </w:r>
      <w:r>
        <w:rPr>
          <w:rFonts w:hint="eastAsia"/>
          <w:color w:val="333333"/>
          <w:sz w:val="24"/>
          <w:szCs w:val="24"/>
          <w:u w:val="single"/>
          <w:lang w:eastAsia="zh-CN"/>
        </w:rPr>
        <w:t>变电所高压开关柜拆装及系统调试项目</w:t>
      </w:r>
    </w:p>
    <w:p w14:paraId="2B94E7E2">
      <w:pPr>
        <w:spacing w:line="360" w:lineRule="auto"/>
        <w:ind w:left="479" w:leftChars="228" w:firstLine="0" w:firstLineChars="0"/>
        <w:rPr>
          <w:color w:val="333333"/>
          <w:sz w:val="24"/>
          <w:szCs w:val="24"/>
          <w:u w:val="single"/>
        </w:rPr>
      </w:pP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物资-2025（内）    </w:t>
      </w:r>
    </w:p>
    <w:p w14:paraId="217B3677">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2C2F5AD9">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383FE981">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123DA340">
      <w:pPr>
        <w:spacing w:line="360" w:lineRule="auto"/>
        <w:rPr>
          <w:b/>
          <w:color w:val="333333"/>
          <w:sz w:val="24"/>
          <w:szCs w:val="24"/>
        </w:rPr>
      </w:pPr>
      <w:r>
        <w:rPr>
          <w:rFonts w:hint="eastAsia"/>
          <w:b/>
          <w:color w:val="333333"/>
          <w:sz w:val="24"/>
          <w:szCs w:val="24"/>
        </w:rPr>
        <w:t>二、项目概况</w:t>
      </w:r>
    </w:p>
    <w:p w14:paraId="65E062E1">
      <w:pPr>
        <w:spacing w:line="360" w:lineRule="auto"/>
        <w:ind w:firstLine="480" w:firstLineChars="200"/>
        <w:rPr>
          <w:rFonts w:hint="eastAsia"/>
          <w:color w:val="333333"/>
          <w:sz w:val="24"/>
          <w:szCs w:val="24"/>
          <w:lang w:eastAsia="zh-CN"/>
        </w:rPr>
      </w:pPr>
      <w:r>
        <w:rPr>
          <w:rFonts w:hint="eastAsia"/>
          <w:color w:val="333333"/>
          <w:sz w:val="24"/>
          <w:szCs w:val="24"/>
        </w:rPr>
        <w:t>1.项目名称：</w:t>
      </w:r>
      <w:r>
        <w:rPr>
          <w:rFonts w:hint="eastAsia"/>
          <w:color w:val="333333"/>
          <w:sz w:val="24"/>
          <w:szCs w:val="24"/>
          <w:lang w:eastAsia="zh-CN"/>
        </w:rPr>
        <w:t>变电所高压开关柜拆装及系统调试项目</w:t>
      </w:r>
    </w:p>
    <w:p w14:paraId="49A9B998">
      <w:pPr>
        <w:spacing w:line="360" w:lineRule="auto"/>
        <w:ind w:firstLine="480" w:firstLineChars="200"/>
        <w:rPr>
          <w:rFonts w:hint="default" w:eastAsia="宋体"/>
          <w:color w:val="333333"/>
          <w:sz w:val="24"/>
          <w:szCs w:val="24"/>
          <w:lang w:val="en-US" w:eastAsia="zh-CN"/>
        </w:rPr>
      </w:pPr>
      <w:r>
        <w:rPr>
          <w:rFonts w:hint="eastAsia"/>
          <w:color w:val="333333"/>
          <w:sz w:val="24"/>
          <w:szCs w:val="24"/>
        </w:rPr>
        <w:t>2.工程地点：</w:t>
      </w:r>
      <w:r>
        <w:rPr>
          <w:rFonts w:hint="eastAsia"/>
          <w:color w:val="333333"/>
          <w:sz w:val="24"/>
          <w:szCs w:val="24"/>
          <w:lang w:val="en-US" w:eastAsia="zh-CN"/>
        </w:rPr>
        <w:t>连云港市</w:t>
      </w:r>
    </w:p>
    <w:p w14:paraId="5AE56CE2">
      <w:pPr>
        <w:spacing w:line="360" w:lineRule="auto"/>
        <w:ind w:firstLine="480" w:firstLineChars="200"/>
        <w:rPr>
          <w:color w:val="333333"/>
          <w:sz w:val="24"/>
          <w:szCs w:val="24"/>
        </w:rPr>
      </w:pPr>
      <w:r>
        <w:rPr>
          <w:rFonts w:hint="eastAsia"/>
          <w:color w:val="333333"/>
          <w:sz w:val="24"/>
          <w:szCs w:val="24"/>
        </w:rPr>
        <w:t>3.工程概况：</w:t>
      </w:r>
    </w:p>
    <w:p w14:paraId="617611AF">
      <w:pPr>
        <w:spacing w:line="360" w:lineRule="auto"/>
        <w:ind w:firstLine="480" w:firstLineChars="200"/>
        <w:rPr>
          <w:color w:val="333333"/>
          <w:sz w:val="24"/>
          <w:szCs w:val="24"/>
        </w:rPr>
      </w:pPr>
      <w:r>
        <w:rPr>
          <w:rFonts w:hint="eastAsia"/>
          <w:color w:val="333333"/>
          <w:sz w:val="24"/>
          <w:szCs w:val="24"/>
        </w:rPr>
        <w:t>该工程为</w:t>
      </w:r>
      <w:r>
        <w:rPr>
          <w:rFonts w:hint="eastAsia"/>
          <w:color w:val="333333"/>
          <w:sz w:val="24"/>
          <w:szCs w:val="24"/>
          <w:lang w:val="en-US" w:eastAsia="zh-CN"/>
        </w:rPr>
        <w:t>安装</w:t>
      </w:r>
      <w:r>
        <w:rPr>
          <w:rFonts w:hint="eastAsia"/>
          <w:color w:val="333333"/>
          <w:sz w:val="24"/>
          <w:szCs w:val="24"/>
        </w:rPr>
        <w:t>工程，位于</w:t>
      </w:r>
      <w:r>
        <w:rPr>
          <w:rFonts w:hint="eastAsia"/>
          <w:color w:val="333333"/>
          <w:sz w:val="24"/>
          <w:szCs w:val="24"/>
          <w:lang w:val="en-US" w:eastAsia="zh-CN"/>
        </w:rPr>
        <w:t>连云港市连云港市</w:t>
      </w:r>
      <w:r>
        <w:rPr>
          <w:rFonts w:hint="eastAsia"/>
          <w:color w:val="333333"/>
          <w:sz w:val="24"/>
          <w:szCs w:val="24"/>
        </w:rPr>
        <w:t>，工程主要内容：</w:t>
      </w:r>
    </w:p>
    <w:tbl>
      <w:tblPr>
        <w:tblStyle w:val="46"/>
        <w:tblW w:w="10712" w:type="dxa"/>
        <w:tblInd w:w="-1157" w:type="dxa"/>
        <w:tblLayout w:type="fixed"/>
        <w:tblCellMar>
          <w:top w:w="0" w:type="dxa"/>
          <w:left w:w="108" w:type="dxa"/>
          <w:bottom w:w="0" w:type="dxa"/>
          <w:right w:w="108" w:type="dxa"/>
        </w:tblCellMar>
      </w:tblPr>
      <w:tblGrid>
        <w:gridCol w:w="850"/>
        <w:gridCol w:w="1537"/>
        <w:gridCol w:w="5589"/>
        <w:gridCol w:w="712"/>
        <w:gridCol w:w="713"/>
        <w:gridCol w:w="1311"/>
      </w:tblGrid>
      <w:tr w14:paraId="5BE1D2B2">
        <w:tblPrEx>
          <w:tblCellMar>
            <w:top w:w="0" w:type="dxa"/>
            <w:left w:w="108" w:type="dxa"/>
            <w:bottom w:w="0" w:type="dxa"/>
            <w:right w:w="108" w:type="dxa"/>
          </w:tblCellMar>
        </w:tblPrEx>
        <w:trPr>
          <w:trHeight w:val="765"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4136">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序号</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93E2">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项目名称</w:t>
            </w:r>
          </w:p>
        </w:tc>
        <w:tc>
          <w:tcPr>
            <w:tcW w:w="5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B956">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项目特征描述</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D768">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单位</w:t>
            </w:r>
          </w:p>
        </w:tc>
        <w:tc>
          <w:tcPr>
            <w:tcW w:w="71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1E41957">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数量</w:t>
            </w:r>
          </w:p>
        </w:tc>
        <w:tc>
          <w:tcPr>
            <w:tcW w:w="131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BA05458">
            <w:pPr>
              <w:widowControl/>
              <w:jc w:val="center"/>
              <w:textAlignment w:val="center"/>
              <w:rPr>
                <w:rFonts w:ascii="等线" w:hAnsi="等线" w:eastAsia="等线" w:cs="等线"/>
                <w:color w:val="000000"/>
                <w:kern w:val="0"/>
                <w:sz w:val="24"/>
                <w:szCs w:val="24"/>
                <w:lang w:bidi="ar"/>
              </w:rPr>
            </w:pPr>
            <w:r>
              <w:rPr>
                <w:rFonts w:hint="eastAsia" w:ascii="等线" w:hAnsi="等线" w:eastAsia="等线" w:cs="等线"/>
                <w:color w:val="000000"/>
                <w:kern w:val="0"/>
                <w:sz w:val="24"/>
                <w:szCs w:val="24"/>
                <w:lang w:bidi="ar"/>
              </w:rPr>
              <w:t>备注</w:t>
            </w:r>
          </w:p>
        </w:tc>
      </w:tr>
      <w:tr w14:paraId="5AF9B9AB">
        <w:tblPrEx>
          <w:tblCellMar>
            <w:top w:w="0" w:type="dxa"/>
            <w:left w:w="108" w:type="dxa"/>
            <w:bottom w:w="0" w:type="dxa"/>
            <w:right w:w="108" w:type="dxa"/>
          </w:tblCellMar>
        </w:tblPrEx>
        <w:trPr>
          <w:trHeight w:val="829"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4E955">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BC9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环网柜基础</w:t>
            </w:r>
          </w:p>
        </w:tc>
        <w:tc>
          <w:tcPr>
            <w:tcW w:w="5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7B5F">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1、环网柜（宽x深x高）：3450*1150*2450mm</w:t>
            </w:r>
            <w:r>
              <w:rPr>
                <w:rFonts w:hint="eastAsia" w:ascii="宋体" w:hAnsi="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2、开关柜基础图详见图纸</w:t>
            </w:r>
          </w:p>
        </w:tc>
        <w:tc>
          <w:tcPr>
            <w:tcW w:w="7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FDE585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座</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162D6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3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1DBD32">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3101BF16">
        <w:tblPrEx>
          <w:tblCellMar>
            <w:top w:w="0" w:type="dxa"/>
            <w:left w:w="108" w:type="dxa"/>
            <w:bottom w:w="0" w:type="dxa"/>
            <w:right w:w="108" w:type="dxa"/>
          </w:tblCellMar>
        </w:tblPrEx>
        <w:trPr>
          <w:trHeight w:val="911"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FC76">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2</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3F6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负荷转移</w:t>
            </w:r>
          </w:p>
        </w:tc>
        <w:tc>
          <w:tcPr>
            <w:tcW w:w="5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65D1">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1、安装环网基础、环网柜</w:t>
            </w:r>
            <w:r>
              <w:rPr>
                <w:rFonts w:hint="eastAsia" w:ascii="宋体" w:hAnsi="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2、包含线缆施工联结及临时定值调试</w:t>
            </w:r>
            <w:r>
              <w:rPr>
                <w:rFonts w:hint="eastAsia" w:ascii="宋体" w:hAnsi="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3、拆除环网柜、环网基础并运送至下一改造地点</w:t>
            </w:r>
          </w:p>
        </w:tc>
        <w:tc>
          <w:tcPr>
            <w:tcW w:w="7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D3935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次</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B3D1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3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50535">
            <w:pPr>
              <w:keepNext w:val="0"/>
              <w:keepLines w:val="0"/>
              <w:widowControl/>
              <w:suppressLineNumbers w:val="0"/>
              <w:jc w:val="center"/>
              <w:textAlignment w:val="center"/>
              <w:rPr>
                <w:rFonts w:hint="eastAsia" w:ascii="宋体" w:hAnsi="宋体" w:cs="宋体"/>
                <w:color w:val="000000"/>
                <w:kern w:val="0"/>
                <w:sz w:val="21"/>
                <w:szCs w:val="21"/>
                <w:u w:val="none"/>
                <w:lang w:bidi="ar"/>
              </w:rPr>
            </w:pPr>
          </w:p>
        </w:tc>
      </w:tr>
      <w:tr w14:paraId="45D5D0CF">
        <w:tblPrEx>
          <w:tblCellMar>
            <w:top w:w="0" w:type="dxa"/>
            <w:left w:w="108" w:type="dxa"/>
            <w:bottom w:w="0" w:type="dxa"/>
            <w:right w:w="108" w:type="dxa"/>
          </w:tblCellMar>
        </w:tblPrEx>
        <w:trPr>
          <w:trHeight w:val="612"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54D9">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3</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82C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高压开关柜（拆除）</w:t>
            </w:r>
          </w:p>
        </w:tc>
        <w:tc>
          <w:tcPr>
            <w:tcW w:w="5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D867">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1、拆除及清运高压开关柜47面，其他按实际情况施工</w:t>
            </w:r>
          </w:p>
        </w:tc>
        <w:tc>
          <w:tcPr>
            <w:tcW w:w="7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28309A6">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17913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47</w:t>
            </w:r>
          </w:p>
        </w:tc>
        <w:tc>
          <w:tcPr>
            <w:tcW w:w="13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C9D57">
            <w:pPr>
              <w:keepNext w:val="0"/>
              <w:keepLines w:val="0"/>
              <w:widowControl/>
              <w:suppressLineNumbers w:val="0"/>
              <w:jc w:val="left"/>
              <w:textAlignment w:val="center"/>
              <w:rPr>
                <w:rFonts w:hint="eastAsia" w:ascii="宋体" w:hAnsi="宋体" w:cs="宋体"/>
                <w:color w:val="000000"/>
                <w:kern w:val="0"/>
                <w:sz w:val="21"/>
                <w:szCs w:val="21"/>
                <w:u w:val="none"/>
                <w:lang w:bidi="ar"/>
              </w:rPr>
            </w:pPr>
          </w:p>
        </w:tc>
      </w:tr>
      <w:tr w14:paraId="7A87E07B">
        <w:tblPrEx>
          <w:tblCellMar>
            <w:top w:w="0" w:type="dxa"/>
            <w:left w:w="108" w:type="dxa"/>
            <w:bottom w:w="0" w:type="dxa"/>
            <w:right w:w="108" w:type="dxa"/>
          </w:tblCellMar>
        </w:tblPrEx>
        <w:trPr>
          <w:trHeight w:val="680"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78F3">
            <w:pPr>
              <w:keepNext w:val="0"/>
              <w:keepLines w:val="0"/>
              <w:widowControl/>
              <w:suppressLineNumbers w:val="0"/>
              <w:jc w:val="center"/>
              <w:textAlignment w:val="center"/>
              <w:rPr>
                <w:rFonts w:ascii="等线" w:hAnsi="等线" w:eastAsia="等线" w:cs="等线"/>
                <w:color w:val="000000"/>
                <w:sz w:val="21"/>
                <w:szCs w:val="21"/>
              </w:rPr>
            </w:pPr>
            <w:r>
              <w:rPr>
                <w:rFonts w:hint="eastAsia" w:ascii="宋体" w:hAnsi="宋体" w:eastAsia="宋体" w:cs="宋体"/>
                <w:i w:val="0"/>
                <w:iCs w:val="0"/>
                <w:color w:val="000000"/>
                <w:kern w:val="0"/>
                <w:sz w:val="21"/>
                <w:szCs w:val="21"/>
                <w:u w:val="none"/>
                <w:lang w:val="en-US" w:eastAsia="zh-CN" w:bidi="ar"/>
              </w:rPr>
              <w:t>4</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BD4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高压开关柜安装</w:t>
            </w:r>
          </w:p>
        </w:tc>
        <w:tc>
          <w:tcPr>
            <w:tcW w:w="5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7259">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新建高压开关柜56面（甲供材）包括开关柜就位，一二次线缆敷设连接等，其他按实际情况施工</w:t>
            </w:r>
          </w:p>
        </w:tc>
        <w:tc>
          <w:tcPr>
            <w:tcW w:w="7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1C68EB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62CC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56</w:t>
            </w:r>
          </w:p>
        </w:tc>
        <w:tc>
          <w:tcPr>
            <w:tcW w:w="13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7A6581">
            <w:pPr>
              <w:keepNext w:val="0"/>
              <w:keepLines w:val="0"/>
              <w:widowControl/>
              <w:suppressLineNumbers w:val="0"/>
              <w:jc w:val="center"/>
              <w:textAlignment w:val="center"/>
              <w:rPr>
                <w:rFonts w:hint="eastAsia" w:ascii="宋体" w:hAnsi="宋体" w:cs="宋体"/>
                <w:color w:val="000000"/>
                <w:kern w:val="0"/>
                <w:sz w:val="21"/>
                <w:szCs w:val="21"/>
                <w:u w:val="none"/>
                <w:lang w:bidi="ar"/>
              </w:rPr>
            </w:pPr>
          </w:p>
        </w:tc>
      </w:tr>
      <w:tr w14:paraId="4B02902A">
        <w:tblPrEx>
          <w:tblCellMar>
            <w:top w:w="0" w:type="dxa"/>
            <w:left w:w="108" w:type="dxa"/>
            <w:bottom w:w="0" w:type="dxa"/>
            <w:right w:w="108" w:type="dxa"/>
          </w:tblCellMar>
        </w:tblPrEx>
        <w:trPr>
          <w:trHeight w:val="625"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00BB">
            <w:pPr>
              <w:keepNext w:val="0"/>
              <w:keepLines w:val="0"/>
              <w:widowControl/>
              <w:suppressLineNumbers w:val="0"/>
              <w:jc w:val="center"/>
              <w:textAlignment w:val="center"/>
              <w:rPr>
                <w:rFonts w:hint="eastAsia" w:ascii="等线" w:hAnsi="等线" w:eastAsia="等线" w:cs="等线"/>
                <w:color w:val="000000"/>
                <w:kern w:val="0"/>
                <w:sz w:val="21"/>
                <w:szCs w:val="21"/>
                <w:lang w:bidi="ar"/>
              </w:rPr>
            </w:pPr>
            <w:r>
              <w:rPr>
                <w:rFonts w:hint="eastAsia" w:ascii="宋体" w:hAnsi="宋体" w:eastAsia="宋体" w:cs="宋体"/>
                <w:i w:val="0"/>
                <w:iCs w:val="0"/>
                <w:color w:val="000000"/>
                <w:kern w:val="0"/>
                <w:sz w:val="21"/>
                <w:szCs w:val="21"/>
                <w:u w:val="none"/>
                <w:lang w:val="en-US" w:eastAsia="zh-CN" w:bidi="ar"/>
              </w:rPr>
              <w:t>5</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003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原有基础修整</w:t>
            </w:r>
          </w:p>
        </w:tc>
        <w:tc>
          <w:tcPr>
            <w:tcW w:w="5589"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A922882">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包括但不限于原设备基础修整等全部过程，使其保证开关柜就位安装</w:t>
            </w:r>
          </w:p>
        </w:tc>
        <w:tc>
          <w:tcPr>
            <w:tcW w:w="7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852312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项</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CD55C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3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315CB8">
            <w:pPr>
              <w:keepNext w:val="0"/>
              <w:keepLines w:val="0"/>
              <w:widowControl/>
              <w:suppressLineNumbers w:val="0"/>
              <w:jc w:val="center"/>
              <w:textAlignment w:val="center"/>
              <w:rPr>
                <w:rFonts w:hint="eastAsia" w:ascii="宋体" w:hAnsi="宋体" w:cs="宋体"/>
                <w:color w:val="000000"/>
                <w:kern w:val="0"/>
                <w:sz w:val="16"/>
                <w:szCs w:val="16"/>
                <w:u w:val="none"/>
                <w:lang w:bidi="ar"/>
              </w:rPr>
            </w:pPr>
          </w:p>
        </w:tc>
      </w:tr>
      <w:tr w14:paraId="5520AF51">
        <w:tblPrEx>
          <w:tblCellMar>
            <w:top w:w="0" w:type="dxa"/>
            <w:left w:w="108" w:type="dxa"/>
            <w:bottom w:w="0" w:type="dxa"/>
            <w:right w:w="108" w:type="dxa"/>
          </w:tblCellMar>
        </w:tblPrEx>
        <w:trPr>
          <w:trHeight w:val="687"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D08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E91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原有设备接线调整</w:t>
            </w:r>
          </w:p>
        </w:tc>
        <w:tc>
          <w:tcPr>
            <w:tcW w:w="5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D672">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包括但不限于供电所内其余设备连接调整等工作</w:t>
            </w:r>
          </w:p>
        </w:tc>
        <w:tc>
          <w:tcPr>
            <w:tcW w:w="7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D3A355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项</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3888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3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5D802">
            <w:pPr>
              <w:keepNext w:val="0"/>
              <w:keepLines w:val="0"/>
              <w:widowControl/>
              <w:suppressLineNumbers w:val="0"/>
              <w:jc w:val="center"/>
              <w:textAlignment w:val="center"/>
              <w:rPr>
                <w:rFonts w:hint="eastAsia" w:ascii="宋体" w:hAnsi="宋体" w:cs="宋体"/>
                <w:color w:val="000000"/>
                <w:kern w:val="0"/>
                <w:sz w:val="16"/>
                <w:szCs w:val="16"/>
                <w:u w:val="none"/>
                <w:lang w:bidi="ar"/>
              </w:rPr>
            </w:pPr>
          </w:p>
        </w:tc>
      </w:tr>
      <w:tr w14:paraId="3268F3C8">
        <w:tblPrEx>
          <w:tblCellMar>
            <w:top w:w="0" w:type="dxa"/>
            <w:left w:w="108" w:type="dxa"/>
            <w:bottom w:w="0" w:type="dxa"/>
            <w:right w:w="108" w:type="dxa"/>
          </w:tblCellMar>
        </w:tblPrEx>
        <w:trPr>
          <w:trHeight w:val="1678"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E8FA5">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8DF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系统调试</w:t>
            </w:r>
          </w:p>
        </w:tc>
        <w:tc>
          <w:tcPr>
            <w:tcW w:w="5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91C5">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1、包括但不限于三个所（青口、灌西和封跳）电缆调试、设备调试、变电所开关柜系统调试、原有监控后台（许继）的调整等</w:t>
            </w:r>
            <w:r>
              <w:rPr>
                <w:rFonts w:hint="eastAsia" w:ascii="宋体" w:hAnsi="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2、按电气装置安装工程电气设备</w:t>
            </w:r>
            <w:bookmarkStart w:id="4" w:name="_GoBack"/>
            <w:bookmarkEnd w:id="4"/>
            <w:r>
              <w:rPr>
                <w:rFonts w:hint="eastAsia" w:ascii="宋体" w:hAnsi="宋体" w:cs="宋体"/>
                <w:i w:val="0"/>
                <w:iCs w:val="0"/>
                <w:color w:val="000000"/>
                <w:kern w:val="0"/>
                <w:sz w:val="21"/>
                <w:szCs w:val="21"/>
                <w:u w:val="none"/>
                <w:lang w:val="en-US" w:eastAsia="zh-CN" w:bidi="ar"/>
              </w:rPr>
              <w:t>交接试验标准试验（GB 50150-2016），并出具相关试验报告</w:t>
            </w:r>
          </w:p>
        </w:tc>
        <w:tc>
          <w:tcPr>
            <w:tcW w:w="7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FD0C42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项</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2BBC4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3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843C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p>
        </w:tc>
      </w:tr>
      <w:tr w14:paraId="6553E062">
        <w:tblPrEx>
          <w:tblCellMar>
            <w:top w:w="0" w:type="dxa"/>
            <w:left w:w="108" w:type="dxa"/>
            <w:bottom w:w="0" w:type="dxa"/>
            <w:right w:w="108" w:type="dxa"/>
          </w:tblCellMar>
        </w:tblPrEx>
        <w:trPr>
          <w:trHeight w:val="1252" w:hRule="exac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6C7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35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后台监控调试</w:t>
            </w:r>
          </w:p>
        </w:tc>
        <w:tc>
          <w:tcPr>
            <w:tcW w:w="5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DE88">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1、包括但不限于三个所（青口、灌西和封跳），新增柜体线路，调整监控系统一次监控图（许继平台）</w:t>
            </w:r>
            <w:r>
              <w:rPr>
                <w:rFonts w:hint="eastAsia" w:ascii="宋体" w:hAnsi="宋体" w:cs="宋体"/>
                <w:i w:val="0"/>
                <w:iCs w:val="0"/>
                <w:color w:val="000000"/>
                <w:kern w:val="0"/>
                <w:sz w:val="21"/>
                <w:szCs w:val="21"/>
                <w:u w:val="none"/>
                <w:lang w:val="en-US" w:eastAsia="zh-CN" w:bidi="ar"/>
              </w:rPr>
              <w:br w:type="textWrapping"/>
            </w:r>
            <w:r>
              <w:rPr>
                <w:rFonts w:hint="eastAsia" w:ascii="宋体" w:hAnsi="宋体" w:cs="宋体"/>
                <w:i w:val="0"/>
                <w:iCs w:val="0"/>
                <w:color w:val="000000"/>
                <w:kern w:val="0"/>
                <w:sz w:val="21"/>
                <w:szCs w:val="21"/>
                <w:u w:val="none"/>
                <w:lang w:val="en-US" w:eastAsia="zh-CN" w:bidi="ar"/>
              </w:rPr>
              <w:t>2、测试监控后台系统的遥信、遥测、遥控系统，修改系统定值，确保监测数据准确，功能正常使用。</w:t>
            </w:r>
          </w:p>
        </w:tc>
        <w:tc>
          <w:tcPr>
            <w:tcW w:w="71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CA706B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系统</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CC11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3</w:t>
            </w:r>
          </w:p>
        </w:tc>
        <w:tc>
          <w:tcPr>
            <w:tcW w:w="13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1270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p>
        </w:tc>
      </w:tr>
    </w:tbl>
    <w:p w14:paraId="4145366D">
      <w:pPr>
        <w:widowControl/>
        <w:adjustRightInd w:val="0"/>
        <w:snapToGrid w:val="0"/>
        <w:spacing w:line="300" w:lineRule="auto"/>
        <w:ind w:firstLine="422" w:firstLineChars="200"/>
        <w:rPr>
          <w:color w:val="333333"/>
          <w:sz w:val="24"/>
          <w:szCs w:val="24"/>
        </w:rPr>
      </w:pP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其中：安全文明施工费中基本费费率为3.1%；扬尘污染防治增加费为0.31%；规费中社会保险费费率为3.2%、住房公积金费率为0.53%、环境保护税费率为0.1%、税金费率为9% 。</w:t>
      </w:r>
    </w:p>
    <w:p w14:paraId="474CA612">
      <w:pPr>
        <w:spacing w:line="360" w:lineRule="auto"/>
        <w:ind w:firstLine="480" w:firstLineChars="200"/>
        <w:rPr>
          <w:color w:val="333333"/>
          <w:sz w:val="24"/>
          <w:szCs w:val="24"/>
        </w:rPr>
      </w:pPr>
      <w:r>
        <w:rPr>
          <w:rFonts w:hint="eastAsia"/>
          <w:color w:val="333333"/>
          <w:sz w:val="24"/>
          <w:szCs w:val="24"/>
        </w:rPr>
        <w:t>4.计划工期：</w:t>
      </w:r>
    </w:p>
    <w:p w14:paraId="5DBAE481">
      <w:pPr>
        <w:spacing w:line="360" w:lineRule="auto"/>
        <w:ind w:firstLine="480" w:firstLineChars="200"/>
        <w:rPr>
          <w:color w:val="333333"/>
          <w:sz w:val="24"/>
          <w:szCs w:val="24"/>
        </w:rPr>
      </w:pPr>
      <w:r>
        <w:rPr>
          <w:rFonts w:hint="eastAsia"/>
          <w:color w:val="333333"/>
          <w:sz w:val="24"/>
          <w:szCs w:val="24"/>
        </w:rPr>
        <w:t>计划工期</w:t>
      </w:r>
      <w:r>
        <w:rPr>
          <w:rFonts w:hint="eastAsia"/>
          <w:color w:val="333333"/>
          <w:sz w:val="24"/>
          <w:szCs w:val="24"/>
          <w:lang w:val="en-US" w:eastAsia="zh-CN"/>
        </w:rPr>
        <w:t>15</w:t>
      </w:r>
      <w:r>
        <w:rPr>
          <w:rFonts w:hint="eastAsia"/>
          <w:color w:val="333333"/>
          <w:sz w:val="24"/>
          <w:szCs w:val="24"/>
        </w:rPr>
        <w:t>日历天，计划开工日期202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11</w:t>
      </w:r>
      <w:r>
        <w:rPr>
          <w:rFonts w:hint="eastAsia"/>
          <w:color w:val="333333"/>
          <w:sz w:val="24"/>
          <w:szCs w:val="24"/>
        </w:rPr>
        <w:t>月</w:t>
      </w:r>
      <w:r>
        <w:rPr>
          <w:rFonts w:hint="eastAsia"/>
          <w:color w:val="333333"/>
          <w:sz w:val="24"/>
          <w:szCs w:val="24"/>
          <w:lang w:val="en-US" w:eastAsia="zh-CN"/>
        </w:rPr>
        <w:t>14</w:t>
      </w:r>
      <w:r>
        <w:rPr>
          <w:rFonts w:hint="eastAsia"/>
          <w:color w:val="333333"/>
          <w:sz w:val="24"/>
          <w:szCs w:val="24"/>
        </w:rPr>
        <w:t>日，竣工日期202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11</w:t>
      </w:r>
      <w:r>
        <w:rPr>
          <w:rFonts w:hint="eastAsia"/>
          <w:color w:val="333333"/>
          <w:sz w:val="24"/>
          <w:szCs w:val="24"/>
        </w:rPr>
        <w:t>月</w:t>
      </w:r>
      <w:r>
        <w:rPr>
          <w:rFonts w:hint="eastAsia"/>
          <w:color w:val="333333"/>
          <w:sz w:val="24"/>
          <w:szCs w:val="24"/>
          <w:lang w:val="en-US" w:eastAsia="zh-CN"/>
        </w:rPr>
        <w:t>29</w:t>
      </w:r>
      <w:r>
        <w:rPr>
          <w:rFonts w:hint="eastAsia"/>
          <w:color w:val="333333"/>
          <w:sz w:val="24"/>
          <w:szCs w:val="24"/>
        </w:rPr>
        <w:t>日，中标人签订合同后按照工期要求组织进场施工。</w:t>
      </w:r>
    </w:p>
    <w:p w14:paraId="097A1734">
      <w:pPr>
        <w:spacing w:line="360" w:lineRule="auto"/>
        <w:ind w:firstLine="480" w:firstLineChars="200"/>
        <w:rPr>
          <w:color w:val="333333"/>
          <w:sz w:val="24"/>
          <w:szCs w:val="24"/>
        </w:rPr>
      </w:pPr>
      <w:r>
        <w:rPr>
          <w:rFonts w:hint="eastAsia"/>
          <w:color w:val="333333"/>
          <w:sz w:val="24"/>
          <w:szCs w:val="24"/>
        </w:rPr>
        <w:t>5.质量要求：按《建筑工程施工质量验收统一标准》GB50300-2013执行</w:t>
      </w:r>
    </w:p>
    <w:p w14:paraId="22E6803B">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396196.35</w:t>
      </w:r>
      <w:r>
        <w:rPr>
          <w:rFonts w:hint="eastAsia"/>
          <w:color w:val="333333"/>
          <w:sz w:val="24"/>
          <w:szCs w:val="24"/>
        </w:rPr>
        <w:t>元。（超出限价视作无效标处理）。</w:t>
      </w:r>
    </w:p>
    <w:p w14:paraId="12E40A7D">
      <w:pPr>
        <w:pStyle w:val="2"/>
        <w:spacing w:after="0" w:line="360" w:lineRule="auto"/>
        <w:ind w:left="0" w:leftChars="0" w:firstLine="480"/>
        <w:rPr>
          <w:color w:val="333333"/>
          <w:sz w:val="24"/>
        </w:rPr>
      </w:pPr>
      <w:r>
        <w:rPr>
          <w:rFonts w:hint="eastAsia"/>
          <w:color w:val="333333"/>
          <w:sz w:val="24"/>
        </w:rPr>
        <w:t>7.合同形式：本工程采用固定单价合同。</w:t>
      </w:r>
    </w:p>
    <w:p w14:paraId="22912BA3">
      <w:pPr>
        <w:spacing w:line="360" w:lineRule="auto"/>
        <w:rPr>
          <w:b/>
          <w:color w:val="333333"/>
          <w:sz w:val="24"/>
          <w:szCs w:val="24"/>
        </w:rPr>
      </w:pPr>
      <w:r>
        <w:rPr>
          <w:rFonts w:hint="eastAsia"/>
          <w:b/>
          <w:color w:val="333333"/>
          <w:sz w:val="24"/>
          <w:szCs w:val="24"/>
        </w:rPr>
        <w:t>三、投标人的资格要求：</w:t>
      </w:r>
    </w:p>
    <w:p w14:paraId="2556050D">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2C4E9E63">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61FC8771">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val="en-US" w:eastAsia="zh-CN"/>
        </w:rPr>
        <w:t>2025年内</w:t>
      </w:r>
      <w:r>
        <w:rPr>
          <w:rFonts w:hint="eastAsia"/>
          <w:color w:val="333333"/>
          <w:sz w:val="24"/>
          <w:szCs w:val="24"/>
          <w:highlight w:val="none"/>
          <w:lang w:eastAsia="zh-CN"/>
        </w:rPr>
        <w:t>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75EBB36B">
      <w:pPr>
        <w:pStyle w:val="18"/>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金额不低于30万元</w:t>
      </w:r>
      <w:r>
        <w:rPr>
          <w:rFonts w:hint="eastAsia"/>
          <w:color w:val="333333"/>
          <w:sz w:val="24"/>
          <w:szCs w:val="24"/>
          <w:highlight w:val="none"/>
          <w:lang w:val="en-US" w:eastAsia="zh-CN"/>
        </w:rPr>
        <w:t>（请提供合同及发票复印件加盖公章，原件备查）</w:t>
      </w:r>
      <w:r>
        <w:rPr>
          <w:rFonts w:hint="eastAsia"/>
          <w:color w:val="333333"/>
          <w:sz w:val="24"/>
          <w:szCs w:val="24"/>
        </w:rPr>
        <w:t>；</w:t>
      </w:r>
    </w:p>
    <w:p w14:paraId="30ACE87A">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73C7A126">
      <w:pPr>
        <w:spacing w:line="360" w:lineRule="auto"/>
        <w:ind w:firstLine="480" w:firstLineChars="200"/>
        <w:rPr>
          <w:rFonts w:hint="default" w:ascii="Times New Roman" w:hAnsi="Times New Roman" w:eastAsia="宋体" w:cs="Times New Roman"/>
          <w:color w:val="333333"/>
          <w:sz w:val="24"/>
          <w:szCs w:val="24"/>
          <w:lang w:val="en-US" w:eastAsia="zh-CN"/>
        </w:rPr>
      </w:pPr>
      <w:r>
        <w:rPr>
          <w:color w:val="333333"/>
          <w:sz w:val="24"/>
          <w:szCs w:val="24"/>
        </w:rPr>
        <w:t>6.</w:t>
      </w:r>
      <w:r>
        <w:rPr>
          <w:rFonts w:hint="eastAsia"/>
          <w:color w:val="333333"/>
          <w:sz w:val="24"/>
          <w:szCs w:val="24"/>
        </w:rPr>
        <w:t>投标人具备建设行政主管部门核发有效的电力工程施工总承包三级以上资质（含三级）或具有输变电工程专业承包三级以上资质（含三级），同时具有有效的国家电力监管委员会颁发有效的三级以上资质（含三级）承装（修、试）电力设施许可证，具有省、部级建设行政主管部门颁发的安全生产许可证，具备二级及以上机电工程专业注册建造师资格、安全生产考核合格证（B类），具备现场专职安全员（C类）。（证书均在有效期内，建造师及安全员需提供2025年03月-2025年08月社保缴纳证明）</w:t>
      </w:r>
    </w:p>
    <w:p w14:paraId="5A56AD51">
      <w:pPr>
        <w:spacing w:line="360" w:lineRule="auto"/>
        <w:ind w:firstLine="480" w:firstLineChars="200"/>
        <w:rPr>
          <w:rFonts w:ascii="Times New Roman" w:hAnsi="Times New Roman" w:eastAsia="宋体" w:cs="Times New Roman"/>
          <w:color w:val="333333"/>
          <w:sz w:val="24"/>
          <w:szCs w:val="24"/>
        </w:rPr>
      </w:pPr>
      <w:r>
        <w:rPr>
          <w:rFonts w:ascii="Times New Roman" w:hAnsi="Times New Roman" w:eastAsia="宋体" w:cs="Times New Roman"/>
          <w:color w:val="333333"/>
          <w:sz w:val="24"/>
          <w:szCs w:val="24"/>
        </w:rPr>
        <w:t xml:space="preserve">7. </w:t>
      </w:r>
      <w:r>
        <w:rPr>
          <w:rFonts w:hint="eastAsia" w:ascii="Times New Roman" w:hAnsi="Times New Roman" w:eastAsia="宋体" w:cs="Times New Roman"/>
          <w:color w:val="333333"/>
          <w:sz w:val="24"/>
          <w:szCs w:val="24"/>
        </w:rPr>
        <w:t>本项目不接受联合体投标。</w:t>
      </w:r>
    </w:p>
    <w:p w14:paraId="6AA4C8DC">
      <w:pPr>
        <w:spacing w:line="360" w:lineRule="auto"/>
        <w:rPr>
          <w:b/>
          <w:color w:val="333333"/>
          <w:sz w:val="24"/>
          <w:szCs w:val="24"/>
        </w:rPr>
      </w:pPr>
      <w:r>
        <w:rPr>
          <w:rFonts w:hint="eastAsia"/>
          <w:b/>
          <w:color w:val="333333"/>
          <w:sz w:val="24"/>
          <w:szCs w:val="24"/>
        </w:rPr>
        <w:t>四、获取招标文件</w:t>
      </w:r>
    </w:p>
    <w:p w14:paraId="1809471E">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2025年10月3</w:t>
      </w:r>
      <w:r>
        <w:rPr>
          <w:rFonts w:hint="eastAsia"/>
          <w:color w:val="333333"/>
          <w:sz w:val="24"/>
          <w:szCs w:val="24"/>
          <w:lang w:val="en-US" w:eastAsia="zh-CN"/>
        </w:rPr>
        <w:t>1</w:t>
      </w:r>
      <w:r>
        <w:rPr>
          <w:rFonts w:hint="eastAsia"/>
          <w:color w:val="333333"/>
          <w:sz w:val="24"/>
          <w:szCs w:val="24"/>
          <w:lang w:eastAsia="zh-CN"/>
        </w:rPr>
        <w:t>日</w:t>
      </w:r>
      <w:r>
        <w:rPr>
          <w:rFonts w:hint="eastAsia"/>
          <w:color w:val="333333"/>
          <w:sz w:val="24"/>
          <w:szCs w:val="24"/>
          <w:lang w:val="en-US" w:eastAsia="zh-CN"/>
        </w:rPr>
        <w:t>至2025年11月06日</w:t>
      </w:r>
      <w:r>
        <w:rPr>
          <w:rFonts w:hint="eastAsia"/>
          <w:color w:val="333333"/>
          <w:sz w:val="24"/>
          <w:szCs w:val="24"/>
        </w:rPr>
        <w:t>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41368C9C">
      <w:pPr>
        <w:spacing w:line="360" w:lineRule="auto"/>
        <w:rPr>
          <w:b/>
          <w:color w:val="333333"/>
          <w:sz w:val="24"/>
          <w:szCs w:val="24"/>
        </w:rPr>
      </w:pPr>
      <w:r>
        <w:rPr>
          <w:rFonts w:hint="eastAsia"/>
          <w:b/>
          <w:color w:val="333333"/>
          <w:sz w:val="24"/>
          <w:szCs w:val="24"/>
        </w:rPr>
        <w:t>五、提交投标文件截止时间、开标时间和地点</w:t>
      </w:r>
    </w:p>
    <w:p w14:paraId="046816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5</w:t>
      </w:r>
      <w:r>
        <w:rPr>
          <w:rFonts w:hint="eastAsia"/>
          <w:color w:val="333333"/>
          <w:sz w:val="24"/>
          <w:szCs w:val="24"/>
          <w:lang w:eastAsia="zh-CN"/>
        </w:rPr>
        <w:t>年</w:t>
      </w:r>
      <w:r>
        <w:rPr>
          <w:rFonts w:hint="eastAsia"/>
          <w:color w:val="333333"/>
          <w:sz w:val="24"/>
          <w:szCs w:val="24"/>
          <w:lang w:val="en-US" w:eastAsia="zh-CN"/>
        </w:rPr>
        <w:t>11月11日09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27A3C2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633F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5EF672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3FE4AD6B">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27BF03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674BC21F">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488F5047">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采用经评审的</w:t>
      </w:r>
      <w:r>
        <w:rPr>
          <w:rFonts w:hint="eastAsia"/>
          <w:color w:val="333333"/>
          <w:kern w:val="2"/>
          <w:sz w:val="24"/>
          <w:highlight w:val="yellow"/>
          <w:lang w:val="en-US" w:eastAsia="zh-CN"/>
        </w:rPr>
        <w:t>合理低价法</w:t>
      </w:r>
      <w:r>
        <w:rPr>
          <w:rFonts w:hint="eastAsia" w:cs="Times New Roman"/>
          <w:color w:val="333333"/>
          <w:kern w:val="2"/>
          <w:sz w:val="24"/>
          <w:szCs w:val="24"/>
          <w:lang w:val="en-US" w:eastAsia="zh-CN" w:bidi="ar-SA"/>
        </w:rPr>
        <w:t>。</w:t>
      </w:r>
    </w:p>
    <w:p w14:paraId="53242DAF">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00FBB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07</w:t>
      </w:r>
      <w:r>
        <w:rPr>
          <w:rFonts w:hint="eastAsia"/>
          <w:color w:val="333333"/>
          <w:sz w:val="24"/>
          <w:szCs w:val="24"/>
        </w:rPr>
        <w:t>天。</w:t>
      </w:r>
    </w:p>
    <w:p w14:paraId="12751392">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57D77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04A486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707078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9D7B5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柒仟元整</w:t>
      </w:r>
      <w:r>
        <w:rPr>
          <w:rFonts w:hint="eastAsia"/>
          <w:color w:val="333333"/>
          <w:sz w:val="24"/>
          <w:szCs w:val="24"/>
        </w:rPr>
        <w:t>（￥</w:t>
      </w:r>
      <w:r>
        <w:rPr>
          <w:rFonts w:hint="eastAsia"/>
          <w:color w:val="333333"/>
          <w:sz w:val="24"/>
          <w:szCs w:val="24"/>
          <w:lang w:val="en-US" w:eastAsia="zh-CN"/>
        </w:rPr>
        <w:t>7000</w:t>
      </w:r>
      <w:r>
        <w:rPr>
          <w:rFonts w:hint="eastAsia"/>
          <w:color w:val="333333"/>
          <w:sz w:val="24"/>
          <w:szCs w:val="24"/>
        </w:rPr>
        <w:t>.00元整），投标保证金必须在投标文件提交截止期前交至连云港市工业投资集团供电工程分公司账户，本项目不接受现金、支票、汇票等形式的保证金，请备注投标供应商名称与项目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4EB4FF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611203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42D66A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581705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39D1B3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0242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550513B2">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BB3C4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228C18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368B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0B557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w:t>
      </w:r>
      <w:r>
        <w:rPr>
          <w:rFonts w:hint="eastAsia"/>
          <w:color w:val="333333"/>
          <w:sz w:val="24"/>
          <w:szCs w:val="24"/>
          <w:lang w:val="en-US" w:eastAsia="zh-CN"/>
        </w:rPr>
        <w:t xml:space="preserve">女士    </w:t>
      </w:r>
    </w:p>
    <w:p w14:paraId="7BD42D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7621939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145E6B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3A6A2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C840F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许先生    </w:t>
      </w:r>
    </w:p>
    <w:p w14:paraId="3747B7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 xml:space="preserve">电  话：18115867321           </w:t>
      </w:r>
    </w:p>
    <w:p w14:paraId="04B9CAAA">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542B97AB">
      <w:pPr>
        <w:ind w:left="283" w:leftChars="135"/>
        <w:jc w:val="right"/>
        <w:rPr>
          <w:rFonts w:hint="eastAsia"/>
          <w:color w:val="333333"/>
          <w:sz w:val="24"/>
          <w:szCs w:val="24"/>
          <w:lang w:eastAsia="zh-CN"/>
        </w:rPr>
      </w:pPr>
    </w:p>
    <w:p w14:paraId="11F91641">
      <w:pPr>
        <w:ind w:left="283" w:leftChars="135"/>
        <w:jc w:val="right"/>
        <w:rPr>
          <w:rFonts w:cs="仿宋" w:asciiTheme="minorEastAsia" w:hAnsiTheme="minorEastAsia" w:eastAsiaTheme="minorEastAsia"/>
          <w:bCs/>
          <w:snapToGrid w:val="0"/>
          <w:kern w:val="0"/>
          <w:szCs w:val="21"/>
        </w:rPr>
      </w:pPr>
      <w:r>
        <w:rPr>
          <w:rFonts w:hint="eastAsia"/>
          <w:color w:val="333333"/>
          <w:sz w:val="24"/>
          <w:szCs w:val="24"/>
          <w:lang w:eastAsia="zh-CN"/>
        </w:rPr>
        <w:t>2025年</w:t>
      </w:r>
      <w:r>
        <w:rPr>
          <w:rFonts w:hint="eastAsia"/>
          <w:color w:val="333333"/>
          <w:sz w:val="24"/>
          <w:szCs w:val="24"/>
          <w:lang w:val="en-US" w:eastAsia="zh-CN"/>
        </w:rPr>
        <w:t>10月31日</w:t>
      </w:r>
      <w:bookmarkEnd w:id="0"/>
      <w:bookmarkEnd w:id="1"/>
      <w:bookmarkEnd w:id="2"/>
      <w:bookmarkEnd w:id="3"/>
    </w:p>
    <w:sectPr>
      <w:headerReference r:id="rId3" w:type="default"/>
      <w:footerReference r:id="rId4"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9508">
    <w:pPr>
      <w:pStyle w:val="30"/>
      <w:framePr w:wrap="around" w:vAnchor="text" w:hAnchor="margin" w:xAlign="center" w:y="-18"/>
      <w:ind w:firstLine="420"/>
      <w:rPr>
        <w:rStyle w:val="50"/>
      </w:rPr>
    </w:pPr>
    <w:r>
      <w:fldChar w:fldCharType="begin"/>
    </w:r>
    <w:r>
      <w:rPr>
        <w:rStyle w:val="50"/>
      </w:rPr>
      <w:instrText xml:space="preserve">PAGE  </w:instrText>
    </w:r>
    <w:r>
      <w:fldChar w:fldCharType="separate"/>
    </w:r>
    <w:r>
      <w:rPr>
        <w:rStyle w:val="50"/>
      </w:rPr>
      <w:t>41</w:t>
    </w:r>
    <w:r>
      <w:fldChar w:fldCharType="end"/>
    </w:r>
  </w:p>
  <w:p w14:paraId="33D37C0C">
    <w:pPr>
      <w:pStyle w:val="3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A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77F80"/>
    <w:rsid w:val="00181143"/>
    <w:rsid w:val="001909DA"/>
    <w:rsid w:val="00192726"/>
    <w:rsid w:val="00193D01"/>
    <w:rsid w:val="00193FD8"/>
    <w:rsid w:val="00194F23"/>
    <w:rsid w:val="00196B33"/>
    <w:rsid w:val="001A20D0"/>
    <w:rsid w:val="001A5BFA"/>
    <w:rsid w:val="001B027F"/>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2B97"/>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3EEB"/>
    <w:rsid w:val="003A5DA6"/>
    <w:rsid w:val="003B0293"/>
    <w:rsid w:val="003B0FEA"/>
    <w:rsid w:val="003C0225"/>
    <w:rsid w:val="003C2221"/>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D6D1F"/>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191"/>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3AC"/>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545"/>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3206"/>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7045"/>
    <w:rsid w:val="00940108"/>
    <w:rsid w:val="00943D72"/>
    <w:rsid w:val="00947312"/>
    <w:rsid w:val="00947768"/>
    <w:rsid w:val="0095183B"/>
    <w:rsid w:val="00953F2D"/>
    <w:rsid w:val="0096224B"/>
    <w:rsid w:val="00962594"/>
    <w:rsid w:val="00962A53"/>
    <w:rsid w:val="00962C57"/>
    <w:rsid w:val="00964DB7"/>
    <w:rsid w:val="00967991"/>
    <w:rsid w:val="0097048C"/>
    <w:rsid w:val="009719EE"/>
    <w:rsid w:val="0097240B"/>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7A94"/>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C88"/>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3787"/>
    <w:rsid w:val="00A64029"/>
    <w:rsid w:val="00A65944"/>
    <w:rsid w:val="00A661B4"/>
    <w:rsid w:val="00A66726"/>
    <w:rsid w:val="00A67AD5"/>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0C00"/>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BF706B"/>
    <w:rsid w:val="00C02B64"/>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27EB"/>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4A88"/>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46B7A"/>
    <w:rsid w:val="00E502A8"/>
    <w:rsid w:val="00E53607"/>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C780A"/>
    <w:rsid w:val="00FD569A"/>
    <w:rsid w:val="00FE4A06"/>
    <w:rsid w:val="00FF164D"/>
    <w:rsid w:val="00FF18FF"/>
    <w:rsid w:val="00FF3433"/>
    <w:rsid w:val="00FF661A"/>
    <w:rsid w:val="010A29DC"/>
    <w:rsid w:val="01401F5A"/>
    <w:rsid w:val="017A1B4A"/>
    <w:rsid w:val="01914D90"/>
    <w:rsid w:val="01CF1530"/>
    <w:rsid w:val="02475DC4"/>
    <w:rsid w:val="029141B7"/>
    <w:rsid w:val="029C18EE"/>
    <w:rsid w:val="02B1042C"/>
    <w:rsid w:val="031B2C7F"/>
    <w:rsid w:val="031E2113"/>
    <w:rsid w:val="03F82F65"/>
    <w:rsid w:val="040A4C82"/>
    <w:rsid w:val="04190023"/>
    <w:rsid w:val="04762DD5"/>
    <w:rsid w:val="04BA351E"/>
    <w:rsid w:val="055C735A"/>
    <w:rsid w:val="05681A7F"/>
    <w:rsid w:val="05A3368A"/>
    <w:rsid w:val="060238FA"/>
    <w:rsid w:val="06811CCC"/>
    <w:rsid w:val="068B46AE"/>
    <w:rsid w:val="06B46198"/>
    <w:rsid w:val="06B71E3D"/>
    <w:rsid w:val="07350CB2"/>
    <w:rsid w:val="075A4843"/>
    <w:rsid w:val="075C61AB"/>
    <w:rsid w:val="078B7CA7"/>
    <w:rsid w:val="08104180"/>
    <w:rsid w:val="08131F7B"/>
    <w:rsid w:val="0893376B"/>
    <w:rsid w:val="089C69E2"/>
    <w:rsid w:val="08AC12E1"/>
    <w:rsid w:val="08CA47FF"/>
    <w:rsid w:val="08D11C33"/>
    <w:rsid w:val="08E8245A"/>
    <w:rsid w:val="097008C6"/>
    <w:rsid w:val="09764575"/>
    <w:rsid w:val="09B064D1"/>
    <w:rsid w:val="09D76B18"/>
    <w:rsid w:val="09E0668C"/>
    <w:rsid w:val="09E35CE6"/>
    <w:rsid w:val="09F41681"/>
    <w:rsid w:val="09FD72EC"/>
    <w:rsid w:val="0A1165D8"/>
    <w:rsid w:val="0A1411AF"/>
    <w:rsid w:val="0A5E3BC4"/>
    <w:rsid w:val="0A5E4B3B"/>
    <w:rsid w:val="0ACF12E7"/>
    <w:rsid w:val="0AE66BA4"/>
    <w:rsid w:val="0B894F1F"/>
    <w:rsid w:val="0B9E2201"/>
    <w:rsid w:val="0BA17A99"/>
    <w:rsid w:val="0C007680"/>
    <w:rsid w:val="0C751F22"/>
    <w:rsid w:val="0CA36DFA"/>
    <w:rsid w:val="0CB53A09"/>
    <w:rsid w:val="0CBA03AD"/>
    <w:rsid w:val="0CCC325B"/>
    <w:rsid w:val="0CFB228F"/>
    <w:rsid w:val="0D3A63F7"/>
    <w:rsid w:val="0D445BCE"/>
    <w:rsid w:val="0DAB2E51"/>
    <w:rsid w:val="0DEC762A"/>
    <w:rsid w:val="0E296A89"/>
    <w:rsid w:val="0E6B3D92"/>
    <w:rsid w:val="0E952A14"/>
    <w:rsid w:val="0EA212B8"/>
    <w:rsid w:val="0ED41982"/>
    <w:rsid w:val="0EE10FAA"/>
    <w:rsid w:val="0FB00BF3"/>
    <w:rsid w:val="1022386A"/>
    <w:rsid w:val="10290BF1"/>
    <w:rsid w:val="102B75A0"/>
    <w:rsid w:val="103B026F"/>
    <w:rsid w:val="106A75AE"/>
    <w:rsid w:val="109D59B3"/>
    <w:rsid w:val="10EC5C5A"/>
    <w:rsid w:val="111F0591"/>
    <w:rsid w:val="119007C2"/>
    <w:rsid w:val="11A24AC2"/>
    <w:rsid w:val="11D84CA0"/>
    <w:rsid w:val="11F56D91"/>
    <w:rsid w:val="11FD7271"/>
    <w:rsid w:val="11FE0430"/>
    <w:rsid w:val="127E5B35"/>
    <w:rsid w:val="12934CCE"/>
    <w:rsid w:val="12BE2F03"/>
    <w:rsid w:val="12F62DC0"/>
    <w:rsid w:val="136416B2"/>
    <w:rsid w:val="137D3EAF"/>
    <w:rsid w:val="13997894"/>
    <w:rsid w:val="13B42718"/>
    <w:rsid w:val="13BF31B2"/>
    <w:rsid w:val="1409156C"/>
    <w:rsid w:val="14134D89"/>
    <w:rsid w:val="14733F9D"/>
    <w:rsid w:val="148F590C"/>
    <w:rsid w:val="14D82D14"/>
    <w:rsid w:val="15627F7A"/>
    <w:rsid w:val="156B3AB7"/>
    <w:rsid w:val="15C2342E"/>
    <w:rsid w:val="15C32D88"/>
    <w:rsid w:val="15D36DD7"/>
    <w:rsid w:val="161A361E"/>
    <w:rsid w:val="165E680E"/>
    <w:rsid w:val="16B9485E"/>
    <w:rsid w:val="16D43056"/>
    <w:rsid w:val="16F54271"/>
    <w:rsid w:val="175843EA"/>
    <w:rsid w:val="175A4C27"/>
    <w:rsid w:val="17AD3F6D"/>
    <w:rsid w:val="17C76AD9"/>
    <w:rsid w:val="17E3710F"/>
    <w:rsid w:val="18120CB6"/>
    <w:rsid w:val="183879D7"/>
    <w:rsid w:val="18390619"/>
    <w:rsid w:val="18402EE2"/>
    <w:rsid w:val="184579B2"/>
    <w:rsid w:val="185C033C"/>
    <w:rsid w:val="18663621"/>
    <w:rsid w:val="188458AD"/>
    <w:rsid w:val="189821D2"/>
    <w:rsid w:val="197B7B7C"/>
    <w:rsid w:val="199E420E"/>
    <w:rsid w:val="19F004B4"/>
    <w:rsid w:val="19F60C55"/>
    <w:rsid w:val="1A355651"/>
    <w:rsid w:val="1A386933"/>
    <w:rsid w:val="1A3F3E56"/>
    <w:rsid w:val="1A5D1083"/>
    <w:rsid w:val="1AB84877"/>
    <w:rsid w:val="1ACB28DC"/>
    <w:rsid w:val="1AE57FEC"/>
    <w:rsid w:val="1AFE14D4"/>
    <w:rsid w:val="1AFE5D99"/>
    <w:rsid w:val="1B2113CB"/>
    <w:rsid w:val="1B4B4FAC"/>
    <w:rsid w:val="1B754A9E"/>
    <w:rsid w:val="1BA15565"/>
    <w:rsid w:val="1BEE73F8"/>
    <w:rsid w:val="1C040DB8"/>
    <w:rsid w:val="1C071B9A"/>
    <w:rsid w:val="1C081DE6"/>
    <w:rsid w:val="1C305283"/>
    <w:rsid w:val="1C4F6C5F"/>
    <w:rsid w:val="1C7918F4"/>
    <w:rsid w:val="1C857E2E"/>
    <w:rsid w:val="1CAF3FF5"/>
    <w:rsid w:val="1CDA2E0B"/>
    <w:rsid w:val="1CDC320A"/>
    <w:rsid w:val="1CF848D5"/>
    <w:rsid w:val="1CFC4B12"/>
    <w:rsid w:val="1D125B8F"/>
    <w:rsid w:val="1D21367D"/>
    <w:rsid w:val="1D271DC8"/>
    <w:rsid w:val="1DAB5948"/>
    <w:rsid w:val="1DAE1426"/>
    <w:rsid w:val="1E083917"/>
    <w:rsid w:val="1E0C313A"/>
    <w:rsid w:val="1E14234D"/>
    <w:rsid w:val="1E7C6752"/>
    <w:rsid w:val="1E90321E"/>
    <w:rsid w:val="1E97138D"/>
    <w:rsid w:val="1F4F23DC"/>
    <w:rsid w:val="1F653BFC"/>
    <w:rsid w:val="1F793A13"/>
    <w:rsid w:val="1F88605A"/>
    <w:rsid w:val="1FBE675A"/>
    <w:rsid w:val="1FD53E6A"/>
    <w:rsid w:val="202F4D05"/>
    <w:rsid w:val="205B701F"/>
    <w:rsid w:val="2088057F"/>
    <w:rsid w:val="209813DE"/>
    <w:rsid w:val="20A460A0"/>
    <w:rsid w:val="20C84DEE"/>
    <w:rsid w:val="21475D97"/>
    <w:rsid w:val="21507DFC"/>
    <w:rsid w:val="215802A4"/>
    <w:rsid w:val="2186209E"/>
    <w:rsid w:val="22BA7B9D"/>
    <w:rsid w:val="22E47C22"/>
    <w:rsid w:val="230D35C8"/>
    <w:rsid w:val="23126F9C"/>
    <w:rsid w:val="234A6EFB"/>
    <w:rsid w:val="239A0E2B"/>
    <w:rsid w:val="23E841DF"/>
    <w:rsid w:val="25020A0E"/>
    <w:rsid w:val="254C0FB8"/>
    <w:rsid w:val="25A95FAB"/>
    <w:rsid w:val="25BF2E43"/>
    <w:rsid w:val="25CA779B"/>
    <w:rsid w:val="25CD52D5"/>
    <w:rsid w:val="25DB0EB5"/>
    <w:rsid w:val="260E7FC9"/>
    <w:rsid w:val="263E6FE5"/>
    <w:rsid w:val="265E0F03"/>
    <w:rsid w:val="266B570A"/>
    <w:rsid w:val="26931FA8"/>
    <w:rsid w:val="27210DFA"/>
    <w:rsid w:val="272A0EB4"/>
    <w:rsid w:val="27637391"/>
    <w:rsid w:val="27AA283A"/>
    <w:rsid w:val="27AB1F74"/>
    <w:rsid w:val="27B407EC"/>
    <w:rsid w:val="283E5C7F"/>
    <w:rsid w:val="28D9041B"/>
    <w:rsid w:val="29076928"/>
    <w:rsid w:val="291B1727"/>
    <w:rsid w:val="29923E34"/>
    <w:rsid w:val="2A325FDC"/>
    <w:rsid w:val="2A363FF5"/>
    <w:rsid w:val="2A6A2E88"/>
    <w:rsid w:val="2A9320EE"/>
    <w:rsid w:val="2A9F5694"/>
    <w:rsid w:val="2AB92E02"/>
    <w:rsid w:val="2ACF5F79"/>
    <w:rsid w:val="2AED28A3"/>
    <w:rsid w:val="2B055A3D"/>
    <w:rsid w:val="2B22254D"/>
    <w:rsid w:val="2B315FB0"/>
    <w:rsid w:val="2B891CEA"/>
    <w:rsid w:val="2C103DBE"/>
    <w:rsid w:val="2C2B4127"/>
    <w:rsid w:val="2C2F64A2"/>
    <w:rsid w:val="2C7548FE"/>
    <w:rsid w:val="2CA60738"/>
    <w:rsid w:val="2CCB098C"/>
    <w:rsid w:val="2D071619"/>
    <w:rsid w:val="2DA94C43"/>
    <w:rsid w:val="2DE0224B"/>
    <w:rsid w:val="2DE564C4"/>
    <w:rsid w:val="2E13519A"/>
    <w:rsid w:val="2E70537D"/>
    <w:rsid w:val="2EC01828"/>
    <w:rsid w:val="2EC508FF"/>
    <w:rsid w:val="2ED13E81"/>
    <w:rsid w:val="2F743832"/>
    <w:rsid w:val="2F806DA0"/>
    <w:rsid w:val="2FDC49AF"/>
    <w:rsid w:val="304D12A3"/>
    <w:rsid w:val="304F7BAA"/>
    <w:rsid w:val="307B5211"/>
    <w:rsid w:val="308F0B9B"/>
    <w:rsid w:val="309C0BB7"/>
    <w:rsid w:val="30C059AE"/>
    <w:rsid w:val="314F1EF5"/>
    <w:rsid w:val="31824598"/>
    <w:rsid w:val="31911EAE"/>
    <w:rsid w:val="31B70EAD"/>
    <w:rsid w:val="31E340C1"/>
    <w:rsid w:val="31F97D80"/>
    <w:rsid w:val="32326DEE"/>
    <w:rsid w:val="32830817"/>
    <w:rsid w:val="330864CC"/>
    <w:rsid w:val="3310712F"/>
    <w:rsid w:val="33305A23"/>
    <w:rsid w:val="33753436"/>
    <w:rsid w:val="33FD11F1"/>
    <w:rsid w:val="34186E54"/>
    <w:rsid w:val="341F1765"/>
    <w:rsid w:val="34906072"/>
    <w:rsid w:val="34D2441F"/>
    <w:rsid w:val="34DF2FE2"/>
    <w:rsid w:val="34E615BF"/>
    <w:rsid w:val="35C91817"/>
    <w:rsid w:val="35DC2F89"/>
    <w:rsid w:val="35F52474"/>
    <w:rsid w:val="361401EA"/>
    <w:rsid w:val="361726DC"/>
    <w:rsid w:val="370C6381"/>
    <w:rsid w:val="37533DCC"/>
    <w:rsid w:val="375D66BB"/>
    <w:rsid w:val="379877F3"/>
    <w:rsid w:val="37BE184F"/>
    <w:rsid w:val="37EF7C5B"/>
    <w:rsid w:val="38312EC2"/>
    <w:rsid w:val="383C4C37"/>
    <w:rsid w:val="3842333C"/>
    <w:rsid w:val="385B52F0"/>
    <w:rsid w:val="390A2872"/>
    <w:rsid w:val="39164DFD"/>
    <w:rsid w:val="392F4087"/>
    <w:rsid w:val="39EA336A"/>
    <w:rsid w:val="3A59760D"/>
    <w:rsid w:val="3A9B5AC8"/>
    <w:rsid w:val="3AB2479B"/>
    <w:rsid w:val="3AB9039B"/>
    <w:rsid w:val="3B567FF1"/>
    <w:rsid w:val="3B6536E0"/>
    <w:rsid w:val="3B8306A6"/>
    <w:rsid w:val="3C0607D5"/>
    <w:rsid w:val="3C407945"/>
    <w:rsid w:val="3C526A0A"/>
    <w:rsid w:val="3C8D7BE0"/>
    <w:rsid w:val="3CC473A9"/>
    <w:rsid w:val="3D0E32EB"/>
    <w:rsid w:val="3D5C3F89"/>
    <w:rsid w:val="3D6030D4"/>
    <w:rsid w:val="3D8E75CE"/>
    <w:rsid w:val="3D9B027B"/>
    <w:rsid w:val="3DAA456A"/>
    <w:rsid w:val="3DB01D85"/>
    <w:rsid w:val="3DB039E8"/>
    <w:rsid w:val="3DE837D8"/>
    <w:rsid w:val="3E1C09EE"/>
    <w:rsid w:val="3E232041"/>
    <w:rsid w:val="3E502AD5"/>
    <w:rsid w:val="3EAE57F6"/>
    <w:rsid w:val="3EB60DE8"/>
    <w:rsid w:val="3F1A34BA"/>
    <w:rsid w:val="3F54652F"/>
    <w:rsid w:val="3F607E80"/>
    <w:rsid w:val="3FB7787C"/>
    <w:rsid w:val="4013200C"/>
    <w:rsid w:val="40603B42"/>
    <w:rsid w:val="409F065F"/>
    <w:rsid w:val="40B03CB2"/>
    <w:rsid w:val="40C673A6"/>
    <w:rsid w:val="41415274"/>
    <w:rsid w:val="416023CF"/>
    <w:rsid w:val="41F320F5"/>
    <w:rsid w:val="41FA2132"/>
    <w:rsid w:val="427134D3"/>
    <w:rsid w:val="42CD7DEA"/>
    <w:rsid w:val="42E109E7"/>
    <w:rsid w:val="4307617B"/>
    <w:rsid w:val="438020AF"/>
    <w:rsid w:val="43CB1B5D"/>
    <w:rsid w:val="447D2AD5"/>
    <w:rsid w:val="44894F93"/>
    <w:rsid w:val="449C6088"/>
    <w:rsid w:val="44AF78BC"/>
    <w:rsid w:val="44C42241"/>
    <w:rsid w:val="44F63BD9"/>
    <w:rsid w:val="45354ED9"/>
    <w:rsid w:val="45543410"/>
    <w:rsid w:val="457B0D80"/>
    <w:rsid w:val="469456C6"/>
    <w:rsid w:val="46EB62FC"/>
    <w:rsid w:val="46FF153C"/>
    <w:rsid w:val="47223294"/>
    <w:rsid w:val="472F724D"/>
    <w:rsid w:val="479E0D55"/>
    <w:rsid w:val="47DB028A"/>
    <w:rsid w:val="480A1F47"/>
    <w:rsid w:val="4836734F"/>
    <w:rsid w:val="484237D8"/>
    <w:rsid w:val="484330C6"/>
    <w:rsid w:val="484A3531"/>
    <w:rsid w:val="48574C12"/>
    <w:rsid w:val="486C1705"/>
    <w:rsid w:val="48AC69AA"/>
    <w:rsid w:val="48B20DCC"/>
    <w:rsid w:val="48DF6B89"/>
    <w:rsid w:val="490E432A"/>
    <w:rsid w:val="491C1723"/>
    <w:rsid w:val="493354CD"/>
    <w:rsid w:val="498B6E84"/>
    <w:rsid w:val="49A40179"/>
    <w:rsid w:val="4A4E1850"/>
    <w:rsid w:val="4A831514"/>
    <w:rsid w:val="4A98240A"/>
    <w:rsid w:val="4AAC5537"/>
    <w:rsid w:val="4AAF4F82"/>
    <w:rsid w:val="4B757D92"/>
    <w:rsid w:val="4BBF4D72"/>
    <w:rsid w:val="4BF56241"/>
    <w:rsid w:val="4C7E180C"/>
    <w:rsid w:val="4CA13779"/>
    <w:rsid w:val="4CC71734"/>
    <w:rsid w:val="4CEE0452"/>
    <w:rsid w:val="4D1A5DC0"/>
    <w:rsid w:val="4D4D1254"/>
    <w:rsid w:val="4D884849"/>
    <w:rsid w:val="4D92310A"/>
    <w:rsid w:val="4DCE40EF"/>
    <w:rsid w:val="4E6E275B"/>
    <w:rsid w:val="4E894A15"/>
    <w:rsid w:val="4F2B2666"/>
    <w:rsid w:val="4F35458B"/>
    <w:rsid w:val="4F3A3422"/>
    <w:rsid w:val="4F495A4B"/>
    <w:rsid w:val="4FE92204"/>
    <w:rsid w:val="50C17CB0"/>
    <w:rsid w:val="50C60D3F"/>
    <w:rsid w:val="50E27F05"/>
    <w:rsid w:val="511650D7"/>
    <w:rsid w:val="5134269F"/>
    <w:rsid w:val="513D513B"/>
    <w:rsid w:val="514A1279"/>
    <w:rsid w:val="518731FF"/>
    <w:rsid w:val="51B353FD"/>
    <w:rsid w:val="51D650E4"/>
    <w:rsid w:val="51E33646"/>
    <w:rsid w:val="51EC77BD"/>
    <w:rsid w:val="52516B0C"/>
    <w:rsid w:val="52D44669"/>
    <w:rsid w:val="53000E87"/>
    <w:rsid w:val="533832DF"/>
    <w:rsid w:val="534A7FE3"/>
    <w:rsid w:val="53B74F5C"/>
    <w:rsid w:val="53CA2FBA"/>
    <w:rsid w:val="53CE4ACE"/>
    <w:rsid w:val="53D66FF8"/>
    <w:rsid w:val="53D97E22"/>
    <w:rsid w:val="541F26CA"/>
    <w:rsid w:val="543D6919"/>
    <w:rsid w:val="54543ED7"/>
    <w:rsid w:val="546F66E7"/>
    <w:rsid w:val="54BD1CE3"/>
    <w:rsid w:val="54CD2C7A"/>
    <w:rsid w:val="54EE1F9C"/>
    <w:rsid w:val="55C37BD9"/>
    <w:rsid w:val="56833DCD"/>
    <w:rsid w:val="56D55E16"/>
    <w:rsid w:val="56D91391"/>
    <w:rsid w:val="57171EAA"/>
    <w:rsid w:val="57371B68"/>
    <w:rsid w:val="57D709D6"/>
    <w:rsid w:val="57EF2E86"/>
    <w:rsid w:val="582E1E71"/>
    <w:rsid w:val="5879105B"/>
    <w:rsid w:val="58EF1411"/>
    <w:rsid w:val="58F84FF0"/>
    <w:rsid w:val="591A2206"/>
    <w:rsid w:val="593323DA"/>
    <w:rsid w:val="598D0C2A"/>
    <w:rsid w:val="59AA5338"/>
    <w:rsid w:val="59E26769"/>
    <w:rsid w:val="5A0C3D15"/>
    <w:rsid w:val="5A6B7AE3"/>
    <w:rsid w:val="5AB16DF9"/>
    <w:rsid w:val="5AB95D36"/>
    <w:rsid w:val="5B0B5DC1"/>
    <w:rsid w:val="5B49068A"/>
    <w:rsid w:val="5B4D2B0E"/>
    <w:rsid w:val="5B5B0FE0"/>
    <w:rsid w:val="5BCB3316"/>
    <w:rsid w:val="5BDE40FA"/>
    <w:rsid w:val="5C9C5B76"/>
    <w:rsid w:val="5D7B4CA9"/>
    <w:rsid w:val="5D837AF2"/>
    <w:rsid w:val="5DFE7D26"/>
    <w:rsid w:val="5E190CDE"/>
    <w:rsid w:val="5ECF711E"/>
    <w:rsid w:val="5EDA07E9"/>
    <w:rsid w:val="5EE949D8"/>
    <w:rsid w:val="5EEB5F95"/>
    <w:rsid w:val="5EEE2EB4"/>
    <w:rsid w:val="5EFF569F"/>
    <w:rsid w:val="5F9311DE"/>
    <w:rsid w:val="5FE2746E"/>
    <w:rsid w:val="5FEB2EA3"/>
    <w:rsid w:val="601519E5"/>
    <w:rsid w:val="604E4ED6"/>
    <w:rsid w:val="606F72DB"/>
    <w:rsid w:val="6077013B"/>
    <w:rsid w:val="60895E23"/>
    <w:rsid w:val="60AE3960"/>
    <w:rsid w:val="60B83AD2"/>
    <w:rsid w:val="60E14F0D"/>
    <w:rsid w:val="60FD4E4A"/>
    <w:rsid w:val="6123269D"/>
    <w:rsid w:val="61A32E11"/>
    <w:rsid w:val="61BF394A"/>
    <w:rsid w:val="61E00C84"/>
    <w:rsid w:val="61F847F2"/>
    <w:rsid w:val="62552C4B"/>
    <w:rsid w:val="62583FEA"/>
    <w:rsid w:val="62600FE3"/>
    <w:rsid w:val="627E4985"/>
    <w:rsid w:val="62CA25A7"/>
    <w:rsid w:val="62EA1473"/>
    <w:rsid w:val="632626AC"/>
    <w:rsid w:val="633D0200"/>
    <w:rsid w:val="636A68BF"/>
    <w:rsid w:val="63CA2FCC"/>
    <w:rsid w:val="63F175FC"/>
    <w:rsid w:val="63FF44D2"/>
    <w:rsid w:val="64051B48"/>
    <w:rsid w:val="6448079A"/>
    <w:rsid w:val="644A7434"/>
    <w:rsid w:val="647226A9"/>
    <w:rsid w:val="64F035E3"/>
    <w:rsid w:val="64FC71E3"/>
    <w:rsid w:val="6501135C"/>
    <w:rsid w:val="65314B5F"/>
    <w:rsid w:val="656D6929"/>
    <w:rsid w:val="65893482"/>
    <w:rsid w:val="65BA60DA"/>
    <w:rsid w:val="65C94CFA"/>
    <w:rsid w:val="65F34332"/>
    <w:rsid w:val="66A650D9"/>
    <w:rsid w:val="66DB05A7"/>
    <w:rsid w:val="66E60A9B"/>
    <w:rsid w:val="673821D5"/>
    <w:rsid w:val="678843B3"/>
    <w:rsid w:val="67B04277"/>
    <w:rsid w:val="68045643"/>
    <w:rsid w:val="68193CA1"/>
    <w:rsid w:val="68A8338A"/>
    <w:rsid w:val="68F96DA8"/>
    <w:rsid w:val="691B590A"/>
    <w:rsid w:val="691F7078"/>
    <w:rsid w:val="692C6404"/>
    <w:rsid w:val="6949548D"/>
    <w:rsid w:val="69495802"/>
    <w:rsid w:val="699B2EEF"/>
    <w:rsid w:val="69AF3DA3"/>
    <w:rsid w:val="69BE350F"/>
    <w:rsid w:val="6A0E42F6"/>
    <w:rsid w:val="6A4C5EF1"/>
    <w:rsid w:val="6A4E1D0F"/>
    <w:rsid w:val="6A8108E7"/>
    <w:rsid w:val="6AB04778"/>
    <w:rsid w:val="6AF7239B"/>
    <w:rsid w:val="6B08371E"/>
    <w:rsid w:val="6B197AF0"/>
    <w:rsid w:val="6B3779A3"/>
    <w:rsid w:val="6B3948A2"/>
    <w:rsid w:val="6B54392D"/>
    <w:rsid w:val="6B5B7901"/>
    <w:rsid w:val="6B73296A"/>
    <w:rsid w:val="6C0D3DE9"/>
    <w:rsid w:val="6C4D048F"/>
    <w:rsid w:val="6C8B5BC2"/>
    <w:rsid w:val="6C8D6D29"/>
    <w:rsid w:val="6D0E4290"/>
    <w:rsid w:val="6D4439EA"/>
    <w:rsid w:val="6D4B2981"/>
    <w:rsid w:val="6D4E1A0A"/>
    <w:rsid w:val="6D5B5E23"/>
    <w:rsid w:val="6D640655"/>
    <w:rsid w:val="6EC1785B"/>
    <w:rsid w:val="6F8A7F3D"/>
    <w:rsid w:val="6FB06096"/>
    <w:rsid w:val="6FC01244"/>
    <w:rsid w:val="6FCA6A36"/>
    <w:rsid w:val="703A75A8"/>
    <w:rsid w:val="708811A7"/>
    <w:rsid w:val="717736E3"/>
    <w:rsid w:val="71A15A38"/>
    <w:rsid w:val="71B72890"/>
    <w:rsid w:val="71D90936"/>
    <w:rsid w:val="72BA3507"/>
    <w:rsid w:val="735D4687"/>
    <w:rsid w:val="736753A2"/>
    <w:rsid w:val="738D1AFA"/>
    <w:rsid w:val="73F066FD"/>
    <w:rsid w:val="73F379A7"/>
    <w:rsid w:val="74232B4A"/>
    <w:rsid w:val="74250EB2"/>
    <w:rsid w:val="742B7A92"/>
    <w:rsid w:val="74324450"/>
    <w:rsid w:val="743C3E98"/>
    <w:rsid w:val="74543EDF"/>
    <w:rsid w:val="746350BC"/>
    <w:rsid w:val="750A24A6"/>
    <w:rsid w:val="75177B8E"/>
    <w:rsid w:val="75260293"/>
    <w:rsid w:val="75276465"/>
    <w:rsid w:val="764C47C8"/>
    <w:rsid w:val="76BC69ED"/>
    <w:rsid w:val="76E34182"/>
    <w:rsid w:val="76E60869"/>
    <w:rsid w:val="77533EFB"/>
    <w:rsid w:val="77620854"/>
    <w:rsid w:val="777E6738"/>
    <w:rsid w:val="778E7280"/>
    <w:rsid w:val="77CE4490"/>
    <w:rsid w:val="77D3030E"/>
    <w:rsid w:val="77DD63E5"/>
    <w:rsid w:val="79104606"/>
    <w:rsid w:val="79660E24"/>
    <w:rsid w:val="798C63B0"/>
    <w:rsid w:val="7997576F"/>
    <w:rsid w:val="7A134065"/>
    <w:rsid w:val="7A777B33"/>
    <w:rsid w:val="7A8E5FA0"/>
    <w:rsid w:val="7A9D645E"/>
    <w:rsid w:val="7AAB73F6"/>
    <w:rsid w:val="7B760682"/>
    <w:rsid w:val="7B8A1C7D"/>
    <w:rsid w:val="7BA063DE"/>
    <w:rsid w:val="7C64055E"/>
    <w:rsid w:val="7CB95E6B"/>
    <w:rsid w:val="7CC2063E"/>
    <w:rsid w:val="7CF51C06"/>
    <w:rsid w:val="7D5A0D62"/>
    <w:rsid w:val="7D847ACA"/>
    <w:rsid w:val="7DB9005D"/>
    <w:rsid w:val="7DBD1BA3"/>
    <w:rsid w:val="7DFA50E4"/>
    <w:rsid w:val="7E3947DA"/>
    <w:rsid w:val="7E6552B9"/>
    <w:rsid w:val="7E655A11"/>
    <w:rsid w:val="7EBE458D"/>
    <w:rsid w:val="7ED57F2B"/>
    <w:rsid w:val="7EEF0801"/>
    <w:rsid w:val="7F9A7A89"/>
    <w:rsid w:val="7FA06711"/>
    <w:rsid w:val="7FDD29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6">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7">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8">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10">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11">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12">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3">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tabs>
        <w:tab w:val="left" w:pos="765"/>
      </w:tabs>
      <w:ind w:firstLine="420" w:firstLineChars="200"/>
    </w:pPr>
  </w:style>
  <w:style w:type="paragraph" w:styleId="3">
    <w:name w:val="Body Text Indent"/>
    <w:basedOn w:val="1"/>
    <w:next w:val="4"/>
    <w:link w:val="127"/>
    <w:autoRedefine/>
    <w:unhideWhenUsed/>
    <w:qFormat/>
    <w:uiPriority w:val="0"/>
    <w:pPr>
      <w:spacing w:after="120"/>
      <w:ind w:left="420" w:leftChars="200"/>
    </w:pPr>
    <w:rPr>
      <w:kern w:val="0"/>
      <w:sz w:val="20"/>
      <w:szCs w:val="24"/>
    </w:rPr>
  </w:style>
  <w:style w:type="paragraph" w:styleId="4">
    <w:name w:val="envelope return"/>
    <w:basedOn w:val="1"/>
    <w:autoRedefine/>
    <w:unhideWhenUsed/>
    <w:qFormat/>
    <w:uiPriority w:val="0"/>
    <w:pPr>
      <w:snapToGrid w:val="0"/>
    </w:pPr>
    <w:rPr>
      <w:rFonts w:hint="eastAsia" w:ascii="Arial" w:hAnsi="Arial" w:cs="Arial"/>
      <w:szCs w:val="24"/>
    </w:rPr>
  </w:style>
  <w:style w:type="paragraph" w:styleId="14">
    <w:name w:val="toc 7"/>
    <w:basedOn w:val="1"/>
    <w:next w:val="1"/>
    <w:autoRedefine/>
    <w:qFormat/>
    <w:uiPriority w:val="0"/>
    <w:pPr>
      <w:ind w:left="2520" w:leftChars="1200"/>
    </w:pPr>
    <w:rPr>
      <w:rFonts w:ascii="Calibri" w:hAnsi="Calibri"/>
      <w:szCs w:val="22"/>
    </w:rPr>
  </w:style>
  <w:style w:type="paragraph" w:styleId="15">
    <w:name w:val="Normal Indent"/>
    <w:basedOn w:val="1"/>
    <w:link w:val="117"/>
    <w:autoRedefine/>
    <w:qFormat/>
    <w:uiPriority w:val="0"/>
    <w:pPr>
      <w:ind w:firstLine="420" w:firstLineChars="200"/>
    </w:pPr>
    <w:rPr>
      <w:rFonts w:ascii="Calibri" w:hAnsi="Calibri"/>
      <w:szCs w:val="24"/>
    </w:rPr>
  </w:style>
  <w:style w:type="paragraph" w:styleId="16">
    <w:name w:val="caption"/>
    <w:basedOn w:val="1"/>
    <w:next w:val="1"/>
    <w:autoRedefine/>
    <w:qFormat/>
    <w:uiPriority w:val="0"/>
    <w:rPr>
      <w:rFonts w:ascii="Cambria" w:hAnsi="Cambria" w:eastAsia="黑体"/>
      <w:sz w:val="20"/>
    </w:rPr>
  </w:style>
  <w:style w:type="paragraph" w:styleId="17">
    <w:name w:val="Document Map"/>
    <w:basedOn w:val="1"/>
    <w:link w:val="135"/>
    <w:autoRedefine/>
    <w:unhideWhenUsed/>
    <w:qFormat/>
    <w:uiPriority w:val="0"/>
    <w:pPr>
      <w:shd w:val="clear" w:color="auto" w:fill="000080"/>
    </w:pPr>
  </w:style>
  <w:style w:type="paragraph" w:styleId="18">
    <w:name w:val="annotation text"/>
    <w:basedOn w:val="1"/>
    <w:link w:val="100"/>
    <w:autoRedefine/>
    <w:unhideWhenUsed/>
    <w:qFormat/>
    <w:uiPriority w:val="0"/>
    <w:pPr>
      <w:jc w:val="left"/>
    </w:pPr>
    <w:rPr>
      <w:rFonts w:ascii="Calibri" w:hAnsi="Calibri"/>
      <w:kern w:val="0"/>
      <w:sz w:val="20"/>
    </w:rPr>
  </w:style>
  <w:style w:type="paragraph" w:styleId="19">
    <w:name w:val="Body Text 3"/>
    <w:basedOn w:val="1"/>
    <w:link w:val="153"/>
    <w:autoRedefine/>
    <w:unhideWhenUsed/>
    <w:qFormat/>
    <w:uiPriority w:val="0"/>
    <w:pPr>
      <w:spacing w:after="120"/>
    </w:pPr>
    <w:rPr>
      <w:rFonts w:ascii="Calibri" w:hAnsi="Calibri"/>
      <w:kern w:val="0"/>
      <w:sz w:val="16"/>
      <w:szCs w:val="16"/>
    </w:rPr>
  </w:style>
  <w:style w:type="paragraph" w:styleId="20">
    <w:name w:val="Body Text"/>
    <w:basedOn w:val="1"/>
    <w:next w:val="1"/>
    <w:link w:val="59"/>
    <w:autoRedefine/>
    <w:unhideWhenUsed/>
    <w:qFormat/>
    <w:uiPriority w:val="0"/>
    <w:pPr>
      <w:spacing w:after="120"/>
    </w:pPr>
  </w:style>
  <w:style w:type="paragraph" w:styleId="21">
    <w:name w:val="List 2"/>
    <w:basedOn w:val="1"/>
    <w:autoRedefine/>
    <w:qFormat/>
    <w:uiPriority w:val="0"/>
    <w:pPr>
      <w:ind w:left="100" w:leftChars="200" w:hanging="200" w:hangingChars="200"/>
    </w:pPr>
    <w:rPr>
      <w:szCs w:val="24"/>
    </w:rPr>
  </w:style>
  <w:style w:type="paragraph" w:styleId="22">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3">
    <w:name w:val="index 4"/>
    <w:basedOn w:val="1"/>
    <w:next w:val="1"/>
    <w:autoRedefine/>
    <w:qFormat/>
    <w:uiPriority w:val="0"/>
    <w:pPr>
      <w:ind w:left="600" w:leftChars="600"/>
    </w:pPr>
    <w:rPr>
      <w:szCs w:val="24"/>
    </w:rPr>
  </w:style>
  <w:style w:type="paragraph" w:styleId="24">
    <w:name w:val="toc 3"/>
    <w:basedOn w:val="1"/>
    <w:next w:val="1"/>
    <w:autoRedefine/>
    <w:unhideWhenUsed/>
    <w:qFormat/>
    <w:uiPriority w:val="39"/>
    <w:pPr>
      <w:ind w:left="840" w:leftChars="400"/>
    </w:pPr>
  </w:style>
  <w:style w:type="paragraph" w:styleId="25">
    <w:name w:val="Plain Text"/>
    <w:basedOn w:val="1"/>
    <w:link w:val="76"/>
    <w:autoRedefine/>
    <w:unhideWhenUsed/>
    <w:qFormat/>
    <w:uiPriority w:val="0"/>
    <w:pPr>
      <w:spacing w:line="300" w:lineRule="auto"/>
    </w:pPr>
    <w:rPr>
      <w:rFonts w:ascii="宋体" w:hAnsi="Courier New"/>
    </w:rPr>
  </w:style>
  <w:style w:type="paragraph" w:styleId="26">
    <w:name w:val="toc 8"/>
    <w:basedOn w:val="1"/>
    <w:next w:val="1"/>
    <w:autoRedefine/>
    <w:qFormat/>
    <w:uiPriority w:val="0"/>
    <w:pPr>
      <w:ind w:left="2940" w:leftChars="1400"/>
    </w:pPr>
    <w:rPr>
      <w:rFonts w:ascii="Calibri" w:hAnsi="Calibri"/>
      <w:szCs w:val="22"/>
    </w:rPr>
  </w:style>
  <w:style w:type="paragraph" w:styleId="27">
    <w:name w:val="Date"/>
    <w:basedOn w:val="1"/>
    <w:next w:val="1"/>
    <w:link w:val="61"/>
    <w:autoRedefine/>
    <w:unhideWhenUsed/>
    <w:qFormat/>
    <w:uiPriority w:val="0"/>
    <w:pPr>
      <w:ind w:left="100" w:leftChars="2500"/>
    </w:pPr>
    <w:rPr>
      <w:szCs w:val="22"/>
    </w:rPr>
  </w:style>
  <w:style w:type="paragraph" w:styleId="28">
    <w:name w:val="Body Text Indent 2"/>
    <w:basedOn w:val="1"/>
    <w:link w:val="82"/>
    <w:autoRedefine/>
    <w:qFormat/>
    <w:uiPriority w:val="0"/>
    <w:pPr>
      <w:spacing w:after="120" w:line="480" w:lineRule="auto"/>
      <w:ind w:left="420" w:leftChars="200"/>
    </w:pPr>
    <w:rPr>
      <w:szCs w:val="24"/>
    </w:rPr>
  </w:style>
  <w:style w:type="paragraph" w:styleId="29">
    <w:name w:val="Balloon Text"/>
    <w:basedOn w:val="1"/>
    <w:link w:val="81"/>
    <w:autoRedefine/>
    <w:unhideWhenUsed/>
    <w:qFormat/>
    <w:uiPriority w:val="0"/>
    <w:rPr>
      <w:rFonts w:ascii="Calibri" w:hAnsi="Calibri"/>
      <w:kern w:val="0"/>
      <w:sz w:val="18"/>
      <w:szCs w:val="18"/>
    </w:rPr>
  </w:style>
  <w:style w:type="paragraph" w:styleId="30">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1">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autoRedefine/>
    <w:unhideWhenUsed/>
    <w:qFormat/>
    <w:uiPriority w:val="39"/>
  </w:style>
  <w:style w:type="paragraph" w:styleId="33">
    <w:name w:val="toc 4"/>
    <w:basedOn w:val="1"/>
    <w:next w:val="1"/>
    <w:autoRedefine/>
    <w:qFormat/>
    <w:uiPriority w:val="0"/>
    <w:pPr>
      <w:ind w:left="1260" w:leftChars="600"/>
    </w:pPr>
    <w:rPr>
      <w:szCs w:val="21"/>
    </w:rPr>
  </w:style>
  <w:style w:type="paragraph" w:styleId="34">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autoRedefine/>
    <w:qFormat/>
    <w:uiPriority w:val="0"/>
    <w:pPr>
      <w:spacing w:line="240" w:lineRule="exact"/>
      <w:jc w:val="center"/>
    </w:pPr>
    <w:rPr>
      <w:rFonts w:ascii="仿宋_GB2312" w:eastAsia="仿宋_GB2312"/>
    </w:rPr>
  </w:style>
  <w:style w:type="paragraph" w:styleId="36">
    <w:name w:val="toc 6"/>
    <w:basedOn w:val="1"/>
    <w:next w:val="1"/>
    <w:autoRedefine/>
    <w:qFormat/>
    <w:uiPriority w:val="0"/>
    <w:pPr>
      <w:ind w:left="2100" w:leftChars="1000"/>
    </w:pPr>
    <w:rPr>
      <w:rFonts w:ascii="Calibri" w:hAnsi="Calibri"/>
      <w:szCs w:val="22"/>
    </w:rPr>
  </w:style>
  <w:style w:type="paragraph" w:styleId="37">
    <w:name w:val="Body Text Indent 3"/>
    <w:basedOn w:val="1"/>
    <w:link w:val="108"/>
    <w:autoRedefine/>
    <w:unhideWhenUsed/>
    <w:qFormat/>
    <w:uiPriority w:val="0"/>
    <w:pPr>
      <w:ind w:firstLine="600"/>
    </w:pPr>
    <w:rPr>
      <w:rFonts w:ascii="宋体" w:hAnsi="宋体"/>
      <w:kern w:val="0"/>
      <w:sz w:val="20"/>
      <w:szCs w:val="24"/>
    </w:rPr>
  </w:style>
  <w:style w:type="paragraph" w:styleId="38">
    <w:name w:val="toc 2"/>
    <w:basedOn w:val="1"/>
    <w:next w:val="1"/>
    <w:autoRedefine/>
    <w:unhideWhenUsed/>
    <w:qFormat/>
    <w:uiPriority w:val="39"/>
    <w:pPr>
      <w:ind w:left="420" w:leftChars="200"/>
    </w:pPr>
  </w:style>
  <w:style w:type="paragraph" w:styleId="39">
    <w:name w:val="toc 9"/>
    <w:basedOn w:val="1"/>
    <w:next w:val="1"/>
    <w:autoRedefine/>
    <w:qFormat/>
    <w:uiPriority w:val="0"/>
    <w:pPr>
      <w:ind w:left="3360" w:leftChars="1600"/>
    </w:pPr>
    <w:rPr>
      <w:rFonts w:ascii="Calibri" w:hAnsi="Calibri"/>
      <w:szCs w:val="22"/>
    </w:rPr>
  </w:style>
  <w:style w:type="paragraph" w:styleId="40">
    <w:name w:val="Body Text 2"/>
    <w:basedOn w:val="1"/>
    <w:link w:val="140"/>
    <w:autoRedefine/>
    <w:qFormat/>
    <w:uiPriority w:val="0"/>
    <w:pPr>
      <w:spacing w:after="120" w:line="480" w:lineRule="auto"/>
    </w:pPr>
  </w:style>
  <w:style w:type="paragraph" w:styleId="41">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2">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3">
    <w:name w:val="index 1"/>
    <w:basedOn w:val="1"/>
    <w:next w:val="1"/>
    <w:autoRedefine/>
    <w:qFormat/>
    <w:uiPriority w:val="0"/>
    <w:rPr>
      <w:szCs w:val="24"/>
    </w:rPr>
  </w:style>
  <w:style w:type="paragraph" w:styleId="44">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5">
    <w:name w:val="annotation subject"/>
    <w:basedOn w:val="18"/>
    <w:next w:val="18"/>
    <w:link w:val="142"/>
    <w:autoRedefine/>
    <w:unhideWhenUsed/>
    <w:qFormat/>
    <w:uiPriority w:val="0"/>
    <w:rPr>
      <w:b/>
      <w:bCs/>
    </w:r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20"/>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7"/>
    <w:autoRedefine/>
    <w:qFormat/>
    <w:uiPriority w:val="0"/>
    <w:rPr>
      <w:kern w:val="2"/>
      <w:sz w:val="21"/>
      <w:szCs w:val="22"/>
    </w:rPr>
  </w:style>
  <w:style w:type="character" w:customStyle="1" w:styleId="62">
    <w:name w:val="标题 6 Char"/>
    <w:link w:val="10"/>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4"/>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5"/>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7"/>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9"/>
    <w:autoRedefine/>
    <w:qFormat/>
    <w:uiPriority w:val="0"/>
    <w:rPr>
      <w:rFonts w:ascii="Calibri" w:hAnsi="Calibri" w:eastAsia="宋体" w:cs="Times New Roman"/>
      <w:sz w:val="18"/>
      <w:szCs w:val="18"/>
    </w:rPr>
  </w:style>
  <w:style w:type="character" w:customStyle="1" w:styleId="82">
    <w:name w:val="正文文本缩进 2 Char"/>
    <w:link w:val="28"/>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20"/>
    <w:link w:val="83"/>
    <w:autoRedefine/>
    <w:qFormat/>
    <w:uiPriority w:val="0"/>
    <w:pPr>
      <w:spacing w:line="360" w:lineRule="auto"/>
    </w:pPr>
    <w:rPr>
      <w:rFonts w:ascii="宋体" w:cs="宋体"/>
      <w:color w:val="000000"/>
      <w:szCs w:val="24"/>
    </w:rPr>
  </w:style>
  <w:style w:type="character" w:customStyle="1" w:styleId="85">
    <w:name w:val="HTML 预设格式 Char"/>
    <w:link w:val="41"/>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5"/>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8"/>
    <w:autoRedefine/>
    <w:qFormat/>
    <w:uiPriority w:val="0"/>
    <w:rPr>
      <w:rFonts w:ascii="Calibri" w:hAnsi="Calibri" w:eastAsia="宋体" w:cs="Times New Roman"/>
    </w:rPr>
  </w:style>
  <w:style w:type="character" w:customStyle="1" w:styleId="101">
    <w:name w:val="页眉 Char"/>
    <w:link w:val="31"/>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7"/>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11"/>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12"/>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5"/>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6"/>
    <w:autoRedefine/>
    <w:qFormat/>
    <w:uiPriority w:val="0"/>
    <w:rPr>
      <w:rFonts w:ascii="Cambria" w:hAnsi="Cambria" w:eastAsia="宋体" w:cs="Times New Roman"/>
      <w:b/>
      <w:bCs/>
      <w:sz w:val="32"/>
      <w:szCs w:val="32"/>
    </w:rPr>
  </w:style>
  <w:style w:type="character" w:customStyle="1" w:styleId="127">
    <w:name w:val="正文文本缩进 Char"/>
    <w:link w:val="3"/>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3"/>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7"/>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40"/>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5"/>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9"/>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9"/>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7"/>
    <w:link w:val="159"/>
    <w:autoRedefine/>
    <w:qFormat/>
    <w:uiPriority w:val="0"/>
    <w:pPr>
      <w:spacing w:line="413" w:lineRule="auto"/>
    </w:pPr>
    <w:rPr>
      <w:rFonts w:ascii="Arial" w:hAnsi="Arial"/>
      <w:sz w:val="24"/>
    </w:rPr>
  </w:style>
  <w:style w:type="character" w:customStyle="1" w:styleId="161">
    <w:name w:val="标题 4 Char"/>
    <w:link w:val="8"/>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30"/>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4"/>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6"/>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7"/>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6"/>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5"/>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5"/>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7"/>
    <w:autoRedefine/>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5"/>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7"/>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5"/>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3"/>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5"/>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7"/>
    <w:qFormat/>
    <w:uiPriority w:val="0"/>
    <w:rPr>
      <w:rFonts w:ascii="Calibri" w:hAnsi="Calibri"/>
      <w:szCs w:val="24"/>
    </w:rPr>
  </w:style>
  <w:style w:type="paragraph" w:customStyle="1" w:styleId="277">
    <w:name w:val="样式 标题 3 + (中文) 黑体 小四 非加粗 段前: 7.8 磅 段后: 0 磅 行距: 固定值 20 磅"/>
    <w:basedOn w:val="7"/>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5"/>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98">
    <w:name w:val="Blockquote"/>
    <w:unhideWhenUsed/>
    <w:qFormat/>
    <w:uiPriority w:val="99"/>
    <w:pPr>
      <w:widowControl w:val="0"/>
      <w:autoSpaceDE w:val="0"/>
      <w:autoSpaceDN w:val="0"/>
      <w:adjustRightInd w:val="0"/>
      <w:ind w:left="360" w:right="360"/>
    </w:pPr>
    <w:rPr>
      <w:rFonts w:hint="eastAsia" w:ascii="Times New Roman" w:hAnsi="Times New Roman" w:eastAsia="宋体" w:cs="Times New Roman"/>
      <w:kern w:val="2"/>
      <w:sz w:val="24"/>
      <w:lang w:val="en-US" w:eastAsia="zh-CN" w:bidi="ar-SA"/>
    </w:rPr>
  </w:style>
  <w:style w:type="character" w:customStyle="1" w:styleId="299">
    <w:name w:val="font21"/>
    <w:basedOn w:val="48"/>
    <w:qFormat/>
    <w:uiPriority w:val="0"/>
    <w:rPr>
      <w:rFonts w:ascii="宋体" w:hAnsi="宋体" w:eastAsia="宋体" w:cs="宋体"/>
      <w:color w:val="000000"/>
      <w:sz w:val="18"/>
      <w:szCs w:val="18"/>
      <w:u w:val="none"/>
    </w:rPr>
  </w:style>
  <w:style w:type="character" w:customStyle="1" w:styleId="300">
    <w:name w:val="font31"/>
    <w:basedOn w:val="48"/>
    <w:qFormat/>
    <w:uiPriority w:val="0"/>
    <w:rPr>
      <w:rFonts w:hint="default" w:ascii="Times New Roman" w:hAnsi="Times New Roman" w:cs="Times New Roman"/>
      <w:color w:val="000000"/>
      <w:sz w:val="24"/>
      <w:szCs w:val="24"/>
      <w:u w:val="none"/>
    </w:rPr>
  </w:style>
  <w:style w:type="character" w:customStyle="1" w:styleId="301">
    <w:name w:val="font41"/>
    <w:basedOn w:val="48"/>
    <w:qFormat/>
    <w:uiPriority w:val="0"/>
    <w:rPr>
      <w:rFonts w:hint="eastAsia" w:ascii="宋体" w:hAnsi="宋体" w:eastAsia="宋体" w:cs="宋体"/>
      <w:color w:val="000000"/>
      <w:sz w:val="24"/>
      <w:szCs w:val="24"/>
      <w:u w:val="none"/>
    </w:rPr>
  </w:style>
  <w:style w:type="character" w:customStyle="1" w:styleId="302">
    <w:name w:val="font51"/>
    <w:basedOn w:val="4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BBEA-AEE3-44FD-8496-B3747C8B343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2280</Words>
  <Characters>2560</Characters>
  <Lines>161</Lines>
  <Paragraphs>45</Paragraphs>
  <TotalTime>0</TotalTime>
  <ScaleCrop>false</ScaleCrop>
  <LinksUpToDate>false</LinksUpToDate>
  <CharactersWithSpaces>2611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2025-10-31T08:29:00Z</cp:lastPrinted>
  <dcterms:modified xsi:type="dcterms:W3CDTF">2025-10-31T09:19:43Z</dcterms:modified>
  <dc:title>江苏中烟工业有限责任公司徐州卷烟厂十三台开利水冷式冷水机组维保项目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F88144A27C0D41D8BB69153150925DDE</vt:lpwstr>
  </property>
  <property fmtid="{D5CDD505-2E9C-101B-9397-08002B2CF9AE}" pid="4" name="commondata">
    <vt:lpwstr>eyJoZGlkIjoiYWE3N2I4NGU2ZjZhZGUyOWU5YzEzOTNjMWFiZDg1MDYifQ==</vt:lpwstr>
  </property>
</Properties>
</file>