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24421">
      <w:pPr>
        <w:numPr>
          <w:ilvl w:val="0"/>
          <w:numId w:val="1"/>
        </w:numPr>
        <w:spacing w:line="360" w:lineRule="auto"/>
        <w:jc w:val="both"/>
        <w:rPr>
          <w:rFonts w:hint="eastAsia" w:ascii="宋体"/>
          <w:b/>
          <w:bCs/>
          <w:sz w:val="28"/>
          <w:szCs w:val="28"/>
          <w:lang w:val="en-US" w:eastAsia="zh-CN"/>
        </w:rPr>
      </w:pPr>
      <w:r>
        <w:rPr>
          <w:rFonts w:hint="eastAsia" w:ascii="宋体"/>
          <w:b/>
          <w:bCs/>
          <w:sz w:val="28"/>
          <w:szCs w:val="28"/>
          <w:lang w:val="en-US" w:eastAsia="zh-CN"/>
        </w:rPr>
        <w:t>基质</w:t>
      </w:r>
    </w:p>
    <w:p w14:paraId="68C88B41"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订购合同</w:t>
      </w:r>
      <w:bookmarkStart w:id="0" w:name="_GoBack"/>
      <w:bookmarkEnd w:id="0"/>
    </w:p>
    <w:p w14:paraId="432A81C7">
      <w:pPr>
        <w:spacing w:line="360" w:lineRule="auto"/>
        <w:ind w:left="5880" w:firstLine="420"/>
        <w:rPr>
          <w:rFonts w:hint="eastAsia" w:ascii="宋体" w:hAnsi="宋体"/>
          <w:sz w:val="24"/>
        </w:rPr>
      </w:pPr>
    </w:p>
    <w:p w14:paraId="5C356029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甲方（</w:t>
      </w: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</w:rPr>
        <w:t xml:space="preserve">连云港市工投集团青口投资有限公司 </w:t>
      </w:r>
      <w:r>
        <w:rPr>
          <w:rFonts w:hint="eastAsia" w:ascii="宋体" w:hAnsi="宋体"/>
          <w:sz w:val="24"/>
        </w:rPr>
        <w:t xml:space="preserve">      合同编号：</w:t>
      </w:r>
    </w:p>
    <w:p w14:paraId="2183E0CF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乙方（</w:t>
      </w: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连云港裕收农业科技有限公司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 xml:space="preserve">         </w:t>
      </w:r>
    </w:p>
    <w:p w14:paraId="41A52314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 w14:paraId="3B9A014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6"/>
        <w:tblW w:w="8955" w:type="dxa"/>
        <w:tblInd w:w="-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25"/>
        <w:gridCol w:w="1887"/>
        <w:gridCol w:w="948"/>
        <w:gridCol w:w="1125"/>
        <w:gridCol w:w="1590"/>
        <w:gridCol w:w="1560"/>
      </w:tblGrid>
      <w:tr w14:paraId="546A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 w14:paraId="3D55767A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 w14:paraId="287994D8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产品名称</w:t>
            </w:r>
          </w:p>
        </w:tc>
        <w:tc>
          <w:tcPr>
            <w:tcW w:w="1887" w:type="dxa"/>
            <w:noWrap w:val="0"/>
            <w:vAlign w:val="center"/>
          </w:tcPr>
          <w:p w14:paraId="01942CCC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规格</w:t>
            </w:r>
          </w:p>
        </w:tc>
        <w:tc>
          <w:tcPr>
            <w:tcW w:w="948" w:type="dxa"/>
            <w:noWrap w:val="0"/>
            <w:vAlign w:val="center"/>
          </w:tcPr>
          <w:p w14:paraId="5FE70542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单位</w:t>
            </w:r>
          </w:p>
        </w:tc>
        <w:tc>
          <w:tcPr>
            <w:tcW w:w="1125" w:type="dxa"/>
            <w:noWrap w:val="0"/>
            <w:vAlign w:val="center"/>
          </w:tcPr>
          <w:p w14:paraId="1CEBFA40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数量</w:t>
            </w:r>
          </w:p>
        </w:tc>
        <w:tc>
          <w:tcPr>
            <w:tcW w:w="1590" w:type="dxa"/>
            <w:noWrap w:val="0"/>
            <w:vAlign w:val="center"/>
          </w:tcPr>
          <w:p w14:paraId="0FED5636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单价（含税）</w:t>
            </w:r>
          </w:p>
        </w:tc>
        <w:tc>
          <w:tcPr>
            <w:tcW w:w="1560" w:type="dxa"/>
            <w:noWrap w:val="0"/>
            <w:vAlign w:val="center"/>
          </w:tcPr>
          <w:p w14:paraId="529078DE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金额（元）</w:t>
            </w:r>
          </w:p>
        </w:tc>
      </w:tr>
      <w:tr w14:paraId="213B6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20" w:type="dxa"/>
            <w:noWrap w:val="0"/>
            <w:vAlign w:val="center"/>
          </w:tcPr>
          <w:p w14:paraId="7F632268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 w14:paraId="34AEAF12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基质</w:t>
            </w:r>
          </w:p>
        </w:tc>
        <w:tc>
          <w:tcPr>
            <w:tcW w:w="1887" w:type="dxa"/>
            <w:noWrap w:val="0"/>
            <w:vAlign w:val="center"/>
          </w:tcPr>
          <w:p w14:paraId="6DDACAAD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无结块、发酵充分</w:t>
            </w:r>
          </w:p>
        </w:tc>
        <w:tc>
          <w:tcPr>
            <w:tcW w:w="948" w:type="dxa"/>
            <w:noWrap w:val="0"/>
            <w:vAlign w:val="center"/>
          </w:tcPr>
          <w:p w14:paraId="053DD903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50L/袋</w:t>
            </w:r>
          </w:p>
        </w:tc>
        <w:tc>
          <w:tcPr>
            <w:tcW w:w="1125" w:type="dxa"/>
            <w:noWrap w:val="0"/>
            <w:vAlign w:val="center"/>
          </w:tcPr>
          <w:p w14:paraId="6719CCF9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30000袋</w:t>
            </w:r>
          </w:p>
        </w:tc>
        <w:tc>
          <w:tcPr>
            <w:tcW w:w="1590" w:type="dxa"/>
            <w:noWrap w:val="0"/>
            <w:vAlign w:val="center"/>
          </w:tcPr>
          <w:p w14:paraId="069132DC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9.00元/袋 </w:t>
            </w:r>
          </w:p>
        </w:tc>
        <w:tc>
          <w:tcPr>
            <w:tcW w:w="1560" w:type="dxa"/>
            <w:noWrap w:val="0"/>
            <w:vAlign w:val="center"/>
          </w:tcPr>
          <w:p w14:paraId="412CF6EE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270000.00 </w:t>
            </w:r>
          </w:p>
        </w:tc>
      </w:tr>
      <w:tr w14:paraId="43FC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845" w:type="dxa"/>
            <w:gridSpan w:val="2"/>
            <w:noWrap w:val="0"/>
            <w:vAlign w:val="center"/>
          </w:tcPr>
          <w:p w14:paraId="18B338E8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合计金额：</w:t>
            </w:r>
          </w:p>
        </w:tc>
        <w:tc>
          <w:tcPr>
            <w:tcW w:w="7110" w:type="dxa"/>
            <w:gridSpan w:val="5"/>
            <w:noWrap w:val="0"/>
            <w:vAlign w:val="center"/>
          </w:tcPr>
          <w:p w14:paraId="40D5DFE6">
            <w:pPr>
              <w:spacing w:line="360" w:lineRule="auto"/>
              <w:jc w:val="both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人民币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>270000.00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元（大写：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>贰拾柒万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元整）</w:t>
            </w:r>
          </w:p>
        </w:tc>
      </w:tr>
    </w:tbl>
    <w:p w14:paraId="2DB014D1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说明：数量以</w:t>
      </w:r>
      <w:r>
        <w:rPr>
          <w:rFonts w:hint="eastAsia" w:ascii="宋体" w:hAnsi="宋体"/>
          <w:sz w:val="24"/>
          <w:lang w:eastAsia="zh-CN"/>
        </w:rPr>
        <w:t>实际使用需求</w:t>
      </w:r>
      <w:r>
        <w:rPr>
          <w:rFonts w:hint="eastAsia" w:ascii="宋体" w:hAnsi="宋体"/>
          <w:sz w:val="24"/>
        </w:rPr>
        <w:t>数量为准。</w:t>
      </w:r>
    </w:p>
    <w:p w14:paraId="2E7FB53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二、质量标准：</w:t>
      </w:r>
      <w:r>
        <w:rPr>
          <w:rFonts w:hint="eastAsia" w:ascii="宋体" w:hAnsi="宋体" w:cs="宋体"/>
          <w:sz w:val="24"/>
          <w:szCs w:val="24"/>
        </w:rPr>
        <w:t>乙方保证供给甲方的产品符合相应的国家标准</w:t>
      </w:r>
      <w:r>
        <w:rPr>
          <w:rFonts w:hint="eastAsia" w:ascii="宋体" w:hAnsi="宋体"/>
          <w:sz w:val="24"/>
        </w:rPr>
        <w:t>。</w:t>
      </w:r>
    </w:p>
    <w:p w14:paraId="3AF554DA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三、交货：乙方根据甲方指令，合理期限内完成供货。交提货地址</w:t>
      </w:r>
      <w:r>
        <w:rPr>
          <w:rFonts w:hint="eastAsia" w:ascii="宋体" w:hAnsi="宋体"/>
          <w:color w:val="000000"/>
          <w:sz w:val="24"/>
          <w:u w:val="single"/>
        </w:rPr>
        <w:t xml:space="preserve">：大新农场   </w:t>
      </w:r>
      <w:r>
        <w:rPr>
          <w:rFonts w:hint="eastAsia" w:ascii="宋体" w:hAnsi="宋体"/>
          <w:color w:val="000000"/>
          <w:sz w:val="24"/>
        </w:rPr>
        <w:t>。</w:t>
      </w:r>
    </w:p>
    <w:p w14:paraId="4CDF4D13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四、货款结算方式：货到付款。运费、装卸费、税费等由乙方负责；甲方自收到乙方发票后，根据财务报销流程付款。</w:t>
      </w:r>
    </w:p>
    <w:p w14:paraId="6E113132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五、验收标准、方法及提出异议的期限：</w:t>
      </w:r>
    </w:p>
    <w:p w14:paraId="103649D7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甲方在收货时需及时验货，验收过程中如发现产品的型号、规格和质量不合规定，应立即向乙方提出异议；甲方有权拒收不符合甲方订单要求的产品，由此造成的损失由乙方承担；若甲方怠于通知或者自收到货物之日起超过7天未通知乙方的，视为产品合乎甲方要求，甲方须按约定付款。</w:t>
      </w:r>
    </w:p>
    <w:p w14:paraId="4145DD6D">
      <w:pPr>
        <w:pStyle w:val="4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六、</w:t>
      </w:r>
      <w:r>
        <w:rPr>
          <w:rFonts w:ascii="宋体" w:hAnsi="宋体"/>
          <w:color w:val="000000"/>
          <w:sz w:val="24"/>
        </w:rPr>
        <w:t>违约责任：</w:t>
      </w:r>
    </w:p>
    <w:p w14:paraId="3D461182"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1.如乙方没有按照合同约定期限履行送货义务，每逾期一天，向甲方支付合同价款2%的违约金，逾期</w:t>
      </w: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 w14:paraId="2C5B35FD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如乙方的产品品种、型号、规格、质量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 w14:paraId="0DC1163C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3.甲方经营过程中保存不善等非乙方原因造成的质量问题，乙方不承担责任。</w:t>
      </w:r>
    </w:p>
    <w:p w14:paraId="60C006DC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4.乙方在接到甲方有关质量异议通知后，应在3天内负责处理，否则，即视为默认甲方提出的异议和处理意见</w:t>
      </w:r>
      <w:r>
        <w:rPr>
          <w:rFonts w:hint="eastAsia" w:ascii="宋体" w:hAnsi="宋体" w:cs="宋体"/>
          <w:sz w:val="24"/>
          <w:lang w:eastAsia="zh-CN"/>
        </w:rPr>
        <w:t>，且</w:t>
      </w:r>
      <w:r>
        <w:rPr>
          <w:rFonts w:hint="eastAsia" w:ascii="宋体" w:hAnsi="宋体" w:eastAsia="宋体" w:cs="宋体"/>
          <w:sz w:val="24"/>
          <w:lang w:val="en-US" w:eastAsia="zh-CN"/>
        </w:rPr>
        <w:t>自合同签订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一年内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向甲方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提供良好的技术支持和售后服务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 w14:paraId="6E19E72D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5.乙方不得再分包或转包，必须由乙方自行提供合同约定的产品。如乙方违约分包或转包的，依法追究承包单位的法律责任，处转让、分包项目总金额的20%支付违约金。</w:t>
      </w:r>
    </w:p>
    <w:p w14:paraId="35E1C18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七、合同纠纷处理办法：</w:t>
      </w:r>
    </w:p>
    <w:p w14:paraId="784508AF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成的，甲乙双方同意只能以以下第二种方式解决纠纷：</w:t>
      </w:r>
    </w:p>
    <w:p w14:paraId="702C6992"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1、向连云港市仲裁委申请仲裁；</w:t>
      </w:r>
    </w:p>
    <w:p w14:paraId="24500D0A"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2、向甲方公司所在地人民法院提起诉讼。</w:t>
      </w:r>
    </w:p>
    <w:p w14:paraId="6ACA56BF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 w14:paraId="2AC0B65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八、其他事项：</w:t>
      </w:r>
    </w:p>
    <w:p w14:paraId="69BF599C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1.本合同经甲乙双方加盖公章或合同章后生效；</w:t>
      </w:r>
    </w:p>
    <w:p w14:paraId="014639EA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2.本合同有效期至该笔业务结束止；</w:t>
      </w:r>
    </w:p>
    <w:p w14:paraId="0BFE837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</w:rPr>
        <w:t>传真件与原件每份具有同等法律效力。双方所发确认传真均为本合同的有效附件，与本合同具有同等法律效力；</w:t>
      </w:r>
    </w:p>
    <w:p w14:paraId="5FB614DC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4.签约地：青口投资公司。</w:t>
      </w:r>
    </w:p>
    <w:p w14:paraId="6E69FAD6">
      <w:pPr>
        <w:spacing w:line="360" w:lineRule="auto"/>
        <w:rPr>
          <w:rFonts w:hint="eastAsia" w:ascii="宋体" w:hAnsi="宋体"/>
          <w:sz w:val="24"/>
        </w:rPr>
      </w:pPr>
    </w:p>
    <w:p w14:paraId="2F03D986">
      <w:pPr>
        <w:spacing w:line="360" w:lineRule="auto"/>
        <w:rPr>
          <w:rFonts w:hint="eastAsia" w:ascii="宋体" w:hAnsi="宋体"/>
          <w:sz w:val="24"/>
        </w:rPr>
      </w:pPr>
    </w:p>
    <w:p w14:paraId="6952160B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</w:t>
      </w:r>
      <w:r>
        <w:rPr>
          <w:rFonts w:hint="eastAsia" w:ascii="宋体" w:hAnsi="宋体"/>
          <w:sz w:val="24"/>
          <w:lang w:eastAsia="zh-CN"/>
        </w:rPr>
        <w:t>盖章</w:t>
      </w:r>
      <w:r>
        <w:rPr>
          <w:rFonts w:hint="eastAsia" w:ascii="宋体" w:hAnsi="宋体"/>
          <w:sz w:val="24"/>
        </w:rPr>
        <w:t>）：</w:t>
      </w:r>
    </w:p>
    <w:p w14:paraId="7D526CE3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签字：                                   签字：</w:t>
      </w:r>
    </w:p>
    <w:p w14:paraId="4673C94A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</w:t>
      </w:r>
    </w:p>
    <w:p w14:paraId="2C0FB10B">
      <w:pPr>
        <w:spacing w:line="360" w:lineRule="auto"/>
        <w:ind w:firstLine="5040" w:firstLineChars="21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日</w:t>
      </w:r>
    </w:p>
    <w:p w14:paraId="44B43A9C">
      <w:pPr>
        <w:numPr>
          <w:numId w:val="0"/>
        </w:numPr>
        <w:spacing w:line="360" w:lineRule="auto"/>
        <w:jc w:val="both"/>
        <w:rPr>
          <w:rFonts w:hint="default" w:ascii="宋体"/>
          <w:b/>
          <w:bCs/>
          <w:sz w:val="28"/>
          <w:szCs w:val="28"/>
          <w:lang w:val="en-US" w:eastAsia="zh-CN"/>
        </w:rPr>
      </w:pPr>
    </w:p>
    <w:p w14:paraId="7F795470">
      <w:pPr>
        <w:spacing w:line="360" w:lineRule="auto"/>
        <w:jc w:val="both"/>
        <w:rPr>
          <w:rFonts w:hint="eastAsia" w:asci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/>
          <w:b/>
          <w:bCs/>
          <w:sz w:val="28"/>
          <w:szCs w:val="28"/>
          <w:lang w:eastAsia="zh-CN"/>
        </w:rPr>
        <w:t>、无纺布、软盘</w:t>
      </w:r>
    </w:p>
    <w:p w14:paraId="45118F16"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订购合同</w:t>
      </w:r>
    </w:p>
    <w:p w14:paraId="4807DEC5">
      <w:pPr>
        <w:spacing w:line="360" w:lineRule="auto"/>
        <w:ind w:firstLine="6000" w:firstLineChars="25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合同编号：</w:t>
      </w:r>
    </w:p>
    <w:p w14:paraId="1ABBB84D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>连云港市工投集团青口投资有限公司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eastAsia="zh-CN"/>
        </w:rPr>
        <w:t>（以下简称“甲方”）</w:t>
      </w:r>
      <w:r>
        <w:rPr>
          <w:rFonts w:hint="eastAsia" w:ascii="宋体" w:hAnsi="宋体"/>
          <w:sz w:val="24"/>
        </w:rPr>
        <w:t xml:space="preserve">     </w:t>
      </w:r>
    </w:p>
    <w:p w14:paraId="593FB44B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eastAsia="zh-CN"/>
        </w:rPr>
        <w:t>（以下简称“乙方”）</w:t>
      </w:r>
      <w:r>
        <w:rPr>
          <w:rFonts w:hint="eastAsia" w:ascii="宋体" w:hAnsi="宋体"/>
          <w:sz w:val="24"/>
        </w:rPr>
        <w:t xml:space="preserve">  </w:t>
      </w:r>
    </w:p>
    <w:p w14:paraId="3874ECED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 w14:paraId="6A59F11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6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85"/>
        <w:gridCol w:w="1560"/>
        <w:gridCol w:w="1110"/>
        <w:gridCol w:w="1215"/>
        <w:gridCol w:w="1545"/>
        <w:gridCol w:w="1470"/>
      </w:tblGrid>
      <w:tr w14:paraId="5661E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noWrap w:val="0"/>
            <w:vAlign w:val="center"/>
          </w:tcPr>
          <w:p w14:paraId="4100A09F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1185" w:type="dxa"/>
            <w:noWrap w:val="0"/>
            <w:vAlign w:val="center"/>
          </w:tcPr>
          <w:p w14:paraId="6164A51B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产品名称</w:t>
            </w:r>
          </w:p>
        </w:tc>
        <w:tc>
          <w:tcPr>
            <w:tcW w:w="1560" w:type="dxa"/>
            <w:noWrap w:val="0"/>
            <w:vAlign w:val="center"/>
          </w:tcPr>
          <w:p w14:paraId="71C6C3B9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规格</w:t>
            </w:r>
          </w:p>
        </w:tc>
        <w:tc>
          <w:tcPr>
            <w:tcW w:w="1110" w:type="dxa"/>
            <w:noWrap w:val="0"/>
            <w:vAlign w:val="center"/>
          </w:tcPr>
          <w:p w14:paraId="1164E7A7"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单位</w:t>
            </w:r>
          </w:p>
        </w:tc>
        <w:tc>
          <w:tcPr>
            <w:tcW w:w="1215" w:type="dxa"/>
            <w:noWrap w:val="0"/>
            <w:vAlign w:val="center"/>
          </w:tcPr>
          <w:p w14:paraId="7DED0AF1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数量</w:t>
            </w:r>
          </w:p>
        </w:tc>
        <w:tc>
          <w:tcPr>
            <w:tcW w:w="1545" w:type="dxa"/>
            <w:noWrap w:val="0"/>
            <w:vAlign w:val="center"/>
          </w:tcPr>
          <w:p w14:paraId="63217F4B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单价（含税）</w:t>
            </w:r>
          </w:p>
        </w:tc>
        <w:tc>
          <w:tcPr>
            <w:tcW w:w="1470" w:type="dxa"/>
            <w:noWrap w:val="0"/>
            <w:vAlign w:val="center"/>
          </w:tcPr>
          <w:p w14:paraId="0EF1CC2F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金额（元）</w:t>
            </w:r>
          </w:p>
        </w:tc>
      </w:tr>
      <w:tr w14:paraId="6FF4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noWrap w:val="0"/>
            <w:vAlign w:val="center"/>
          </w:tcPr>
          <w:p w14:paraId="4DF88985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7A6FC66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无纺布</w:t>
            </w: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 w14:paraId="54DF6AF2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t>30g/平方米</w:t>
            </w:r>
          </w:p>
          <w:p w14:paraId="4DDEAB90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t>500米/捆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3AF0DFDA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捆</w:t>
            </w:r>
          </w:p>
        </w:tc>
        <w:tc>
          <w:tcPr>
            <w:tcW w:w="1215" w:type="dxa"/>
            <w:noWrap w:val="0"/>
            <w:vAlign w:val="center"/>
          </w:tcPr>
          <w:p w14:paraId="600E682F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5F4B77A3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9E8FED9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 w14:paraId="609E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shd w:val="clear" w:color="auto" w:fill="auto"/>
            <w:noWrap w:val="0"/>
            <w:vAlign w:val="center"/>
          </w:tcPr>
          <w:p w14:paraId="3075C7F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66DF78E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软盘</w:t>
            </w: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 w14:paraId="78CB5353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七寸，40g/张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，不易燃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 w14:paraId="0FD0953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张</w:t>
            </w:r>
          </w:p>
        </w:tc>
        <w:tc>
          <w:tcPr>
            <w:tcW w:w="1215" w:type="dxa"/>
            <w:noWrap w:val="0"/>
            <w:vAlign w:val="center"/>
          </w:tcPr>
          <w:p w14:paraId="17CAEEEB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9D75B34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4156449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 w14:paraId="3D022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gridSpan w:val="2"/>
            <w:noWrap w:val="0"/>
            <w:vAlign w:val="center"/>
          </w:tcPr>
          <w:p w14:paraId="5FD8E7AB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合计金额：</w:t>
            </w:r>
          </w:p>
        </w:tc>
        <w:tc>
          <w:tcPr>
            <w:tcW w:w="6900" w:type="dxa"/>
            <w:gridSpan w:val="5"/>
            <w:noWrap w:val="0"/>
            <w:vAlign w:val="center"/>
          </w:tcPr>
          <w:p w14:paraId="5F6A6698"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人民币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元（大写：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）</w:t>
            </w:r>
          </w:p>
        </w:tc>
      </w:tr>
    </w:tbl>
    <w:p w14:paraId="4F68FD0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说明：数量以</w:t>
      </w:r>
      <w:r>
        <w:rPr>
          <w:rFonts w:hint="eastAsia" w:ascii="宋体" w:hAnsi="宋体"/>
          <w:sz w:val="24"/>
          <w:lang w:eastAsia="zh-CN"/>
        </w:rPr>
        <w:t>实际使用需求</w:t>
      </w:r>
      <w:r>
        <w:rPr>
          <w:rFonts w:hint="eastAsia" w:ascii="宋体" w:hAnsi="宋体"/>
          <w:sz w:val="24"/>
        </w:rPr>
        <w:t>数量为准。</w:t>
      </w:r>
    </w:p>
    <w:p w14:paraId="0CCFD04C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二、质量标准：</w:t>
      </w:r>
      <w:r>
        <w:rPr>
          <w:rFonts w:hint="eastAsia" w:ascii="宋体" w:hAnsi="宋体" w:cs="宋体"/>
          <w:sz w:val="24"/>
          <w:szCs w:val="24"/>
        </w:rPr>
        <w:t>乙方保证供给甲方的产品符合相应的国家标准</w:t>
      </w:r>
      <w:r>
        <w:rPr>
          <w:rFonts w:hint="eastAsia" w:ascii="宋体" w:hAnsi="宋体"/>
          <w:sz w:val="24"/>
        </w:rPr>
        <w:t>。</w:t>
      </w:r>
    </w:p>
    <w:p w14:paraId="1B554C4E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三、交货：乙方根据甲方指令，合理期限内完成供货。交提货地址</w:t>
      </w:r>
      <w:r>
        <w:rPr>
          <w:rFonts w:hint="eastAsia" w:ascii="宋体" w:hAnsi="宋体"/>
          <w:color w:val="000000"/>
          <w:sz w:val="24"/>
          <w:u w:val="none"/>
        </w:rPr>
        <w:t>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大新农场、仓储中心（具体以指定地点为准）</w:t>
      </w:r>
      <w:r>
        <w:rPr>
          <w:rFonts w:hint="eastAsia" w:ascii="宋体" w:hAnsi="宋体"/>
          <w:color w:val="000000"/>
          <w:sz w:val="24"/>
        </w:rPr>
        <w:t>。</w:t>
      </w:r>
    </w:p>
    <w:p w14:paraId="6A588052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四、货款结算方式：货到付款。运费、装卸费、税费等由乙方负责；甲方自收到乙方</w:t>
      </w:r>
      <w:r>
        <w:rPr>
          <w:rFonts w:hint="eastAsia" w:ascii="宋体" w:hAnsi="宋体"/>
          <w:color w:val="000000"/>
          <w:sz w:val="24"/>
          <w:lang w:eastAsia="zh-CN"/>
        </w:rPr>
        <w:t>增值税专用</w:t>
      </w:r>
      <w:r>
        <w:rPr>
          <w:rFonts w:hint="eastAsia" w:ascii="宋体" w:hAnsi="宋体"/>
          <w:color w:val="000000"/>
          <w:sz w:val="24"/>
        </w:rPr>
        <w:t>发票后，根据财务报销流程付款。</w:t>
      </w:r>
    </w:p>
    <w:p w14:paraId="64140C38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五、验收标准、方法及提出异议的期限：</w:t>
      </w:r>
    </w:p>
    <w:p w14:paraId="233C5D9A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甲方在收货时需及时验货，验收过程中如发现产品的型号、规格和质量不合规定</w:t>
      </w:r>
      <w:r>
        <w:rPr>
          <w:rFonts w:hint="eastAsia" w:ascii="宋体" w:hAnsi="宋体"/>
          <w:color w:val="000000"/>
          <w:sz w:val="24"/>
          <w:lang w:eastAsia="zh-CN"/>
        </w:rPr>
        <w:t>的</w:t>
      </w:r>
      <w:r>
        <w:rPr>
          <w:rFonts w:hint="eastAsia" w:ascii="宋体" w:hAnsi="宋体"/>
          <w:color w:val="000000"/>
          <w:sz w:val="24"/>
        </w:rPr>
        <w:t>，应立即向乙方提出异议；甲方有权拒收不符合甲方订单要求的产品，由此造成的损失</w:t>
      </w:r>
      <w:r>
        <w:rPr>
          <w:rFonts w:hint="eastAsia" w:ascii="宋体" w:hAnsi="宋体"/>
          <w:color w:val="000000"/>
          <w:sz w:val="24"/>
          <w:lang w:eastAsia="zh-CN"/>
        </w:rPr>
        <w:t>（含往返运输费用、人工费等）</w:t>
      </w:r>
      <w:r>
        <w:rPr>
          <w:rFonts w:hint="eastAsia" w:ascii="宋体" w:hAnsi="宋体"/>
          <w:color w:val="000000"/>
          <w:sz w:val="24"/>
        </w:rPr>
        <w:t>由乙方承担；若甲方怠于通知或者自收到货物之日起超过7天未通知乙方的，视为产品合乎甲方要求，甲方须按约定付款。</w:t>
      </w:r>
    </w:p>
    <w:p w14:paraId="3D04C6E8">
      <w:pPr>
        <w:pStyle w:val="4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六、</w:t>
      </w:r>
      <w:r>
        <w:rPr>
          <w:rFonts w:ascii="宋体" w:hAnsi="宋体"/>
          <w:color w:val="000000"/>
          <w:sz w:val="24"/>
        </w:rPr>
        <w:t>违约责任：</w:t>
      </w:r>
    </w:p>
    <w:p w14:paraId="36E23FD2"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1.如乙方没有按照合同约定期限履行送货义务，每逾期一天，向甲方支付合同价款2%的违约金，逾期十日，甲方有权解除合同，要求乙方承担由此造成甲方的所有损失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 w14:paraId="6C153DA2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如乙方的产品型号、规格、质量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 w14:paraId="5704CF3D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3.甲方经营过程中保存不善等非乙方原因造成的质量问题，乙方不承担责任。</w:t>
      </w:r>
    </w:p>
    <w:p w14:paraId="33B51152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4.乙方在接到甲方有关质量异议通知后，应在3天内负责处理，否则，即视为默认甲方提出的异议和处理意见</w:t>
      </w:r>
      <w:r>
        <w:rPr>
          <w:rFonts w:hint="eastAsia" w:ascii="宋体" w:hAnsi="宋体" w:cs="宋体"/>
          <w:sz w:val="24"/>
          <w:lang w:eastAsia="zh-CN"/>
        </w:rPr>
        <w:t>，且</w:t>
      </w:r>
      <w:r>
        <w:rPr>
          <w:rFonts w:hint="eastAsia" w:ascii="宋体" w:hAnsi="宋体" w:eastAsia="宋体" w:cs="宋体"/>
          <w:sz w:val="24"/>
          <w:lang w:val="en-US" w:eastAsia="zh-CN"/>
        </w:rPr>
        <w:t>自合同签订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一年内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向甲方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</w:rPr>
        <w:t>提供良好的技术支持和售后服务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 w14:paraId="43155EC7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5.乙方不得再分包或转包，必须由乙方自行提供合同约定的产品。如乙方违约分包或转包的，依法追究承包单位的法律责任，处转让、分包项目总金额的20%支付违约金。</w:t>
      </w:r>
    </w:p>
    <w:p w14:paraId="3EEF7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6.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在招投标活动中，法定代表人为同一人的两个及两个以上法人、母公司与其全资子公司、控股公司，以及其他存在资产关联关系的投标人，不得在同一标段内同时参与投标；若经查实存在上述情形，无论是否已中标，均按无效投标处理；招标过程中未能发现并已签订合同的，经查实不符合要求的，合同直接予以解除，甲方有权拒绝支付所有服务费用，并将相关投标人列入甲方供应商黑名单，取消其后续参与甲方所有采购项目的投标资格。</w:t>
      </w:r>
    </w:p>
    <w:p w14:paraId="2B1C14A6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七、合同纠纷处理办法：</w:t>
      </w:r>
    </w:p>
    <w:p w14:paraId="2DA8B032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成的，甲乙双方同意只能以以下第二种方式解决纠纷：</w:t>
      </w:r>
    </w:p>
    <w:p w14:paraId="756A70FB"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  <w:lang w:eastAsia="zh-CN"/>
        </w:rPr>
        <w:t>（</w:t>
      </w:r>
      <w:r>
        <w:rPr>
          <w:rFonts w:hint="eastAsia" w:ascii="宋体" w:hAnsi="宋体" w:cs="宋体"/>
          <w:kern w:val="2"/>
          <w:sz w:val="24"/>
          <w:lang w:val="en-US" w:eastAsia="zh-CN"/>
        </w:rPr>
        <w:t>1</w:t>
      </w:r>
      <w:r>
        <w:rPr>
          <w:rFonts w:hint="eastAsia" w:ascii="宋体" w:hAnsi="宋体" w:cs="宋体"/>
          <w:kern w:val="2"/>
          <w:sz w:val="24"/>
          <w:lang w:eastAsia="zh-CN"/>
        </w:rPr>
        <w:t>）</w:t>
      </w:r>
      <w:r>
        <w:rPr>
          <w:rFonts w:hint="eastAsia" w:ascii="宋体" w:hAnsi="宋体" w:cs="宋体"/>
          <w:kern w:val="2"/>
          <w:sz w:val="24"/>
        </w:rPr>
        <w:t>向连云港市仲裁委申请仲裁；</w:t>
      </w:r>
    </w:p>
    <w:p w14:paraId="608831C2"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  <w:lang w:eastAsia="zh-CN"/>
        </w:rPr>
        <w:t>（</w:t>
      </w:r>
      <w:r>
        <w:rPr>
          <w:rFonts w:hint="eastAsia" w:ascii="宋体" w:hAnsi="宋体" w:cs="宋体"/>
          <w:kern w:val="2"/>
          <w:sz w:val="24"/>
          <w:lang w:val="en-US" w:eastAsia="zh-CN"/>
        </w:rPr>
        <w:t>2</w:t>
      </w:r>
      <w:r>
        <w:rPr>
          <w:rFonts w:hint="eastAsia" w:ascii="宋体" w:hAnsi="宋体" w:cs="宋体"/>
          <w:kern w:val="2"/>
          <w:sz w:val="24"/>
          <w:lang w:eastAsia="zh-CN"/>
        </w:rPr>
        <w:t>）</w:t>
      </w:r>
      <w:r>
        <w:rPr>
          <w:rFonts w:hint="eastAsia" w:ascii="宋体" w:hAnsi="宋体" w:cs="宋体"/>
          <w:kern w:val="2"/>
          <w:sz w:val="24"/>
        </w:rPr>
        <w:t>向甲方公司所在地人民法院提起诉讼。</w:t>
      </w:r>
    </w:p>
    <w:p w14:paraId="13A1ED0C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 w14:paraId="64E6D287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八、其他事项：</w:t>
      </w:r>
    </w:p>
    <w:p w14:paraId="6CBA141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1.本合同经甲乙双方加盖公章或合同章后生效；</w:t>
      </w:r>
    </w:p>
    <w:p w14:paraId="292ECEB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2.本合同有效期至该笔业务结束止；</w:t>
      </w:r>
    </w:p>
    <w:p w14:paraId="747E0515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</w:rPr>
        <w:t>传真件与原件每份具有同等法律效力。双方所发确认传真均为本合同的有效附件，与本合同具有同等法律效力；</w:t>
      </w:r>
    </w:p>
    <w:p w14:paraId="052D8D33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4.签约地：青口投资公司。</w:t>
      </w:r>
    </w:p>
    <w:p w14:paraId="5F146F1A">
      <w:pPr>
        <w:spacing w:line="360" w:lineRule="auto"/>
        <w:rPr>
          <w:rFonts w:hint="eastAsia" w:ascii="宋体" w:hAnsi="宋体"/>
          <w:sz w:val="24"/>
        </w:rPr>
      </w:pPr>
    </w:p>
    <w:p w14:paraId="70843089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乙方（盖章）：</w:t>
      </w:r>
    </w:p>
    <w:p w14:paraId="1ECBB63A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签字：                                   签字：</w:t>
      </w:r>
    </w:p>
    <w:p w14:paraId="5BBAB820">
      <w:pPr>
        <w:spacing w:line="360" w:lineRule="auto"/>
        <w:ind w:firstLine="4320" w:firstLineChars="1800"/>
        <w:rPr>
          <w:rFonts w:hint="eastAsia" w:ascii="宋体" w:hAnsi="宋体"/>
          <w:sz w:val="24"/>
          <w:lang w:eastAsia="zh-CN"/>
        </w:rPr>
      </w:pPr>
    </w:p>
    <w:p w14:paraId="6579D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4800" w:firstLineChars="2000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 月    日</w:t>
      </w:r>
    </w:p>
    <w:p w14:paraId="79E88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</w:p>
    <w:sectPr>
      <w:footerReference r:id="rId3" w:type="default"/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1DD20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E7729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EDOSk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E7729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40997F"/>
    <w:multiLevelType w:val="singleLevel"/>
    <w:tmpl w:val="5540997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12D5474"/>
    <w:rsid w:val="0F9D3F91"/>
    <w:rsid w:val="132B1CF2"/>
    <w:rsid w:val="2C445C59"/>
    <w:rsid w:val="2D893AC6"/>
    <w:rsid w:val="412D5474"/>
    <w:rsid w:val="43FF03D9"/>
    <w:rsid w:val="4958348A"/>
    <w:rsid w:val="57605664"/>
    <w:rsid w:val="5BF3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3760</Words>
  <Characters>3816</Characters>
  <Lines>0</Lines>
  <Paragraphs>0</Paragraphs>
  <TotalTime>17</TotalTime>
  <ScaleCrop>false</ScaleCrop>
  <LinksUpToDate>false</LinksUpToDate>
  <CharactersWithSpaces>4233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2023-04-21T01:53:00Z</dcterms:created>
  <dc:creator>番茄土豆泥 。</dc:creator>
  <cp:lastModifiedBy>蒋宏</cp:lastModifiedBy>
  <cp:lastPrinted>2023-05-10T01:39:00Z</cp:lastPrinted>
  <dcterms:modified xsi:type="dcterms:W3CDTF">2026-03-16T09:02:42Z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9CA0A008F0FA4A23B34E746E485ACF4B_11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