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D67BCB">
      <w:pPr>
        <w:tabs>
          <w:tab w:val="left" w:pos="1770"/>
        </w:tabs>
        <w:spacing w:line="500" w:lineRule="exact"/>
        <w:jc w:val="center"/>
        <w:outlineLvl w:val="0"/>
        <w:rPr>
          <w:rFonts w:hint="eastAsia" w:ascii="FangSong_GB2312" w:eastAsia="FangSong_GB2312"/>
          <w:b/>
          <w:sz w:val="36"/>
          <w:szCs w:val="36"/>
          <w:highlight w:val="none"/>
          <w:lang w:eastAsia="zh-CN"/>
        </w:rPr>
      </w:pPr>
      <w:r>
        <w:rPr>
          <w:rFonts w:hint="eastAsia" w:ascii="FangSong_GB2312" w:eastAsia="FangSong_GB2312"/>
          <w:b/>
          <w:sz w:val="36"/>
          <w:szCs w:val="36"/>
          <w:highlight w:val="none"/>
          <w:lang w:eastAsia="zh-CN"/>
        </w:rPr>
        <w:t>农药采购协议</w:t>
      </w:r>
    </w:p>
    <w:p w14:paraId="2D164E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6160" w:firstLineChars="2200"/>
        <w:jc w:val="left"/>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合同编号：</w:t>
      </w:r>
    </w:p>
    <w:p w14:paraId="3DEA3F6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购买方（甲方）：</w:t>
      </w:r>
      <w:r>
        <w:rPr>
          <w:rFonts w:hint="eastAsia" w:ascii="仿宋" w:hAnsi="仿宋" w:eastAsia="仿宋" w:cs="仿宋"/>
          <w:color w:val="000000"/>
          <w:kern w:val="0"/>
          <w:sz w:val="28"/>
          <w:szCs w:val="28"/>
          <w:highlight w:val="none"/>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4AB2759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供货方（乙方）：</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6F0A9B1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根据《中华人民共和国民法典》、《中华人民共和国质量法》、《中华人民共和国农药管理条例》及有关规定，为明确双方权利义务，经双方一致协商后签订本合同，内容如下：</w:t>
      </w:r>
    </w:p>
    <w:p w14:paraId="5A58B07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一、农药采购基本情况：</w:t>
      </w:r>
    </w:p>
    <w:p w14:paraId="43D66A6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签订合同后</w:t>
      </w:r>
      <w:r>
        <w:rPr>
          <w:rFonts w:hint="eastAsia" w:ascii="仿宋" w:hAnsi="仿宋" w:eastAsia="仿宋" w:cs="仿宋"/>
          <w:color w:val="000000"/>
          <w:kern w:val="0"/>
          <w:sz w:val="28"/>
          <w:szCs w:val="28"/>
          <w:highlight w:val="none"/>
          <w:shd w:val="clear" w:color="auto" w:fill="FFFFFF"/>
          <w:lang w:val="en-US" w:eastAsia="zh-CN" w:bidi="ar-SA"/>
        </w:rPr>
        <w:t>依据需求单位安排</w:t>
      </w:r>
      <w:r>
        <w:rPr>
          <w:rFonts w:hint="eastAsia" w:ascii="仿宋" w:hAnsi="仿宋" w:eastAsia="仿宋" w:cs="仿宋"/>
          <w:color w:val="000000"/>
          <w:kern w:val="0"/>
          <w:sz w:val="28"/>
          <w:szCs w:val="28"/>
          <w:highlight w:val="none"/>
          <w:shd w:val="clear" w:color="auto" w:fill="FFFFFF"/>
          <w:lang w:val="zh-CN" w:eastAsia="zh-CN" w:bidi="ar-SA"/>
        </w:rPr>
        <w:t>送货到</w:t>
      </w:r>
      <w:r>
        <w:rPr>
          <w:rFonts w:hint="eastAsia" w:ascii="仿宋" w:hAnsi="仿宋" w:eastAsia="仿宋" w:cs="仿宋"/>
          <w:color w:val="000000"/>
          <w:kern w:val="0"/>
          <w:sz w:val="28"/>
          <w:szCs w:val="28"/>
          <w:highlight w:val="none"/>
          <w:shd w:val="clear" w:color="auto" w:fill="FFFFFF"/>
          <w:lang w:val="en-US" w:eastAsia="zh-CN" w:bidi="ar-SA"/>
        </w:rPr>
        <w:t>所需方</w:t>
      </w:r>
      <w:r>
        <w:rPr>
          <w:rFonts w:hint="eastAsia" w:ascii="仿宋" w:hAnsi="仿宋" w:eastAsia="仿宋" w:cs="仿宋"/>
          <w:color w:val="000000"/>
          <w:kern w:val="0"/>
          <w:sz w:val="28"/>
          <w:szCs w:val="28"/>
          <w:highlight w:val="none"/>
          <w:shd w:val="clear" w:color="auto" w:fill="FFFFFF"/>
          <w:lang w:val="zh-CN" w:eastAsia="zh-CN" w:bidi="ar-SA"/>
        </w:rPr>
        <w:t>仓库（以实收数量为准）。具体采购项目如下：</w:t>
      </w:r>
    </w:p>
    <w:tbl>
      <w:tblPr>
        <w:tblStyle w:val="6"/>
        <w:tblW w:w="9015"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75"/>
        <w:gridCol w:w="1335"/>
        <w:gridCol w:w="1215"/>
        <w:gridCol w:w="1095"/>
        <w:gridCol w:w="1395"/>
        <w:gridCol w:w="1860"/>
      </w:tblGrid>
      <w:tr w14:paraId="2A6F5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49AD70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1575" w:type="dxa"/>
            <w:noWrap w:val="0"/>
            <w:vAlign w:val="center"/>
          </w:tcPr>
          <w:p w14:paraId="5960E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名称</w:t>
            </w:r>
          </w:p>
        </w:tc>
        <w:tc>
          <w:tcPr>
            <w:tcW w:w="1335" w:type="dxa"/>
            <w:noWrap w:val="0"/>
            <w:vAlign w:val="center"/>
          </w:tcPr>
          <w:p w14:paraId="1F8913D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w:t>
            </w:r>
          </w:p>
        </w:tc>
        <w:tc>
          <w:tcPr>
            <w:tcW w:w="1215" w:type="dxa"/>
            <w:noWrap w:val="0"/>
            <w:vAlign w:val="center"/>
          </w:tcPr>
          <w:p w14:paraId="6019A2A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1095" w:type="dxa"/>
            <w:noWrap w:val="0"/>
            <w:vAlign w:val="center"/>
          </w:tcPr>
          <w:p w14:paraId="009229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395" w:type="dxa"/>
            <w:noWrap w:val="0"/>
            <w:vAlign w:val="center"/>
          </w:tcPr>
          <w:p w14:paraId="297EC9E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14:paraId="422721B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860" w:type="dxa"/>
            <w:noWrap w:val="0"/>
            <w:vAlign w:val="center"/>
          </w:tcPr>
          <w:p w14:paraId="0B0E96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r>
      <w:tr w14:paraId="491BAA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64C30BCB">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w:t>
            </w:r>
          </w:p>
        </w:tc>
        <w:tc>
          <w:tcPr>
            <w:tcW w:w="1575" w:type="dxa"/>
            <w:noWrap w:val="0"/>
            <w:vAlign w:val="center"/>
          </w:tcPr>
          <w:p w14:paraId="5D8E2C79">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335" w:type="dxa"/>
            <w:noWrap w:val="0"/>
            <w:vAlign w:val="center"/>
          </w:tcPr>
          <w:p w14:paraId="712DD0FF">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215" w:type="dxa"/>
            <w:noWrap w:val="0"/>
            <w:vAlign w:val="center"/>
          </w:tcPr>
          <w:p w14:paraId="3AC1DA29">
            <w:pPr>
              <w:keepNext w:val="0"/>
              <w:keepLines w:val="0"/>
              <w:widowControl/>
              <w:suppressLineNumbers w:val="0"/>
              <w:jc w:val="center"/>
              <w:textAlignment w:val="center"/>
              <w:rPr>
                <w:rFonts w:hint="eastAsia" w:ascii="宋体" w:hAnsi="宋体" w:eastAsia="宋体" w:cs="宋体"/>
                <w:sz w:val="24"/>
                <w:szCs w:val="24"/>
                <w:highlight w:val="none"/>
                <w:lang w:eastAsia="zh-CN"/>
              </w:rPr>
            </w:pPr>
          </w:p>
        </w:tc>
        <w:tc>
          <w:tcPr>
            <w:tcW w:w="1095" w:type="dxa"/>
            <w:noWrap w:val="0"/>
            <w:vAlign w:val="center"/>
          </w:tcPr>
          <w:p w14:paraId="1EA9475A">
            <w:pPr>
              <w:keepNext w:val="0"/>
              <w:keepLines w:val="0"/>
              <w:widowControl/>
              <w:suppressLineNumbers w:val="0"/>
              <w:jc w:val="center"/>
              <w:textAlignment w:val="center"/>
              <w:rPr>
                <w:rFonts w:hint="default" w:ascii="宋体" w:hAnsi="宋体" w:eastAsia="宋体" w:cs="宋体"/>
                <w:sz w:val="24"/>
                <w:szCs w:val="24"/>
                <w:highlight w:val="none"/>
                <w:lang w:val="en-US" w:eastAsia="zh-CN"/>
              </w:rPr>
            </w:pPr>
          </w:p>
        </w:tc>
        <w:tc>
          <w:tcPr>
            <w:tcW w:w="1395" w:type="dxa"/>
            <w:noWrap w:val="0"/>
            <w:vAlign w:val="center"/>
          </w:tcPr>
          <w:p w14:paraId="09AB1CC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14:paraId="0DB5BE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14:paraId="4BEB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115" w:type="dxa"/>
            <w:gridSpan w:val="2"/>
            <w:noWrap w:val="0"/>
            <w:vAlign w:val="center"/>
          </w:tcPr>
          <w:p w14:paraId="5FF84A1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b/>
                <w:bCs/>
                <w:sz w:val="24"/>
                <w:szCs w:val="24"/>
                <w:highlight w:val="none"/>
                <w:lang w:val="en-US" w:eastAsia="zh-CN"/>
              </w:rPr>
              <w:t>合计金额：</w:t>
            </w:r>
          </w:p>
        </w:tc>
        <w:tc>
          <w:tcPr>
            <w:tcW w:w="6900" w:type="dxa"/>
            <w:gridSpan w:val="5"/>
            <w:noWrap w:val="0"/>
            <w:vAlign w:val="center"/>
          </w:tcPr>
          <w:p w14:paraId="278B32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元整）</w:t>
            </w:r>
          </w:p>
        </w:tc>
      </w:tr>
    </w:tbl>
    <w:p w14:paraId="2163F8F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二、质量标准：</w:t>
      </w:r>
      <w:r>
        <w:rPr>
          <w:rFonts w:hint="eastAsia" w:ascii="仿宋" w:hAnsi="仿宋" w:eastAsia="仿宋" w:cs="仿宋"/>
          <w:color w:val="000000"/>
          <w:kern w:val="0"/>
          <w:sz w:val="28"/>
          <w:szCs w:val="28"/>
          <w:highlight w:val="none"/>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highlight w:val="none"/>
          <w:shd w:val="clear" w:color="auto" w:fill="FFFFFF"/>
          <w:lang w:val="zh-CN" w:eastAsia="zh-CN" w:bidi="ar-SA"/>
        </w:rPr>
        <w:t>。</w:t>
      </w:r>
    </w:p>
    <w:p w14:paraId="54B075B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三、包装标准、包装物的供应与回收：包装物不回收，不计价。</w:t>
      </w:r>
    </w:p>
    <w:p w14:paraId="49F8DA8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highlight w:val="none"/>
          <w:shd w:val="clear" w:color="auto" w:fill="FFFFFF"/>
          <w:lang w:val="en-US" w:eastAsia="zh-CN" w:bidi="ar-SA"/>
        </w:rPr>
        <w:t>付款。</w:t>
      </w:r>
    </w:p>
    <w:p w14:paraId="7132CD8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五、交货：</w:t>
      </w:r>
      <w:r>
        <w:rPr>
          <w:rFonts w:hint="eastAsia" w:ascii="仿宋" w:hAnsi="仿宋" w:eastAsia="仿宋" w:cs="仿宋"/>
          <w:color w:val="000000"/>
          <w:kern w:val="0"/>
          <w:sz w:val="28"/>
          <w:szCs w:val="28"/>
          <w:highlight w:val="none"/>
          <w:shd w:val="clear" w:color="auto" w:fill="FFFFFF"/>
          <w:lang w:val="en-US" w:eastAsia="zh-CN" w:bidi="ar-SA"/>
        </w:rPr>
        <w:t>由乙方运送至甲方指定地点</w:t>
      </w:r>
      <w:r>
        <w:rPr>
          <w:rFonts w:hint="eastAsia" w:ascii="仿宋" w:hAnsi="仿宋" w:eastAsia="仿宋" w:cs="仿宋"/>
          <w:color w:val="000000"/>
          <w:kern w:val="0"/>
          <w:sz w:val="28"/>
          <w:szCs w:val="28"/>
          <w:highlight w:val="none"/>
          <w:shd w:val="clear" w:color="auto" w:fill="FFFFFF"/>
          <w:lang w:val="zh-CN" w:eastAsia="zh-CN" w:bidi="ar-SA"/>
        </w:rPr>
        <w:t>，合理期限内完成供货，汽车运输、运费、装卸费用、税费等</w:t>
      </w:r>
      <w:r>
        <w:rPr>
          <w:rFonts w:hint="eastAsia" w:ascii="仿宋" w:hAnsi="仿宋" w:eastAsia="仿宋" w:cs="仿宋"/>
          <w:color w:val="000000"/>
          <w:kern w:val="0"/>
          <w:sz w:val="28"/>
          <w:szCs w:val="28"/>
          <w:highlight w:val="none"/>
          <w:shd w:val="clear" w:color="auto" w:fill="FFFFFF"/>
          <w:lang w:val="en-US" w:eastAsia="zh-CN" w:bidi="ar-SA"/>
        </w:rPr>
        <w:t>由</w:t>
      </w:r>
      <w:r>
        <w:rPr>
          <w:rFonts w:hint="eastAsia" w:ascii="仿宋" w:hAnsi="仿宋" w:eastAsia="仿宋" w:cs="仿宋"/>
          <w:color w:val="000000"/>
          <w:kern w:val="0"/>
          <w:sz w:val="28"/>
          <w:szCs w:val="28"/>
          <w:highlight w:val="none"/>
          <w:shd w:val="clear" w:color="auto" w:fill="FFFFFF"/>
          <w:lang w:val="zh-CN" w:eastAsia="zh-CN" w:bidi="ar-SA"/>
        </w:rPr>
        <w:t>乙方负责。交提货地址：</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zh-CN" w:eastAsia="zh-CN" w:bidi="ar-SA"/>
        </w:rPr>
        <w:t>。</w:t>
      </w:r>
    </w:p>
    <w:p w14:paraId="0DA16CB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六、验收标准、方法及提出异议的期限：</w:t>
      </w:r>
    </w:p>
    <w:p w14:paraId="6CC5B07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1.验收标准：</w:t>
      </w:r>
      <w:r>
        <w:rPr>
          <w:rFonts w:hint="eastAsia" w:ascii="仿宋" w:hAnsi="仿宋" w:eastAsia="仿宋" w:cs="仿宋"/>
          <w:color w:val="000000"/>
          <w:kern w:val="0"/>
          <w:sz w:val="28"/>
          <w:szCs w:val="28"/>
          <w:highlight w:val="none"/>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highlight w:val="none"/>
          <w:shd w:val="clear" w:color="auto" w:fill="FFFFFF"/>
          <w:lang w:val="en-US" w:eastAsia="zh-CN" w:bidi="ar-SA"/>
        </w:rPr>
        <w:t>12个月</w:t>
      </w:r>
      <w:r>
        <w:rPr>
          <w:rFonts w:hint="eastAsia" w:ascii="仿宋" w:hAnsi="仿宋" w:eastAsia="仿宋" w:cs="仿宋"/>
          <w:color w:val="000000"/>
          <w:kern w:val="0"/>
          <w:sz w:val="28"/>
          <w:szCs w:val="28"/>
          <w:highlight w:val="none"/>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highlight w:val="none"/>
          <w:shd w:val="clear" w:color="auto" w:fill="FFFFFF"/>
          <w:lang w:val="en-US" w:eastAsia="zh-CN" w:bidi="ar-SA"/>
        </w:rPr>
        <w:t>验收合格后，由双方签订产品数量、质量验收单。</w:t>
      </w:r>
    </w:p>
    <w:p w14:paraId="7248406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2.异议处理办法及期限：</w:t>
      </w:r>
      <w:r>
        <w:rPr>
          <w:rFonts w:hint="eastAsia" w:ascii="仿宋" w:hAnsi="仿宋" w:eastAsia="仿宋" w:cs="仿宋"/>
          <w:color w:val="000000"/>
          <w:kern w:val="0"/>
          <w:sz w:val="28"/>
          <w:szCs w:val="28"/>
          <w:highlight w:val="none"/>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14:paraId="0D3859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eastAsia" w:ascii="仿宋" w:hAnsi="仿宋" w:eastAsia="仿宋" w:cs="仿宋"/>
          <w:b/>
          <w:bCs/>
          <w:color w:val="000000"/>
          <w:kern w:val="0"/>
          <w:sz w:val="28"/>
          <w:szCs w:val="28"/>
          <w:highlight w:val="none"/>
          <w:shd w:val="clear" w:color="auto" w:fill="FFFFFF"/>
          <w:lang w:val="en-US" w:eastAsia="zh-CN" w:bidi="ar-SA"/>
        </w:rPr>
      </w:pPr>
      <w:r>
        <w:rPr>
          <w:rFonts w:hint="eastAsia" w:ascii="仿宋" w:hAnsi="仿宋" w:eastAsia="仿宋" w:cs="仿宋"/>
          <w:b/>
          <w:bCs/>
          <w:color w:val="000000"/>
          <w:kern w:val="0"/>
          <w:sz w:val="28"/>
          <w:szCs w:val="28"/>
          <w:highlight w:val="none"/>
          <w:shd w:val="clear" w:color="auto" w:fill="FFFFFF"/>
          <w:lang w:val="zh-CN" w:eastAsia="zh-CN" w:bidi="ar-SA"/>
        </w:rPr>
        <w:t>3.效期内接受退货：在产品有效期内，对于本次采购的剩余农药，甲方有权在货物到货后三个月内提出退货，乙方应无条件接受甲方的退货申请，并及时办理相关退货手续</w:t>
      </w:r>
      <w:r>
        <w:rPr>
          <w:rFonts w:hint="eastAsia" w:ascii="仿宋" w:hAnsi="仿宋" w:eastAsia="仿宋" w:cs="仿宋"/>
          <w:b/>
          <w:bCs/>
          <w:color w:val="000000"/>
          <w:kern w:val="0"/>
          <w:sz w:val="28"/>
          <w:szCs w:val="28"/>
          <w:highlight w:val="none"/>
          <w:shd w:val="clear" w:color="auto" w:fill="FFFFFF"/>
          <w:lang w:val="en-US" w:eastAsia="zh-CN" w:bidi="ar-SA"/>
        </w:rPr>
        <w:t>。</w:t>
      </w:r>
    </w:p>
    <w:p w14:paraId="0180FC8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b/>
          <w:bCs/>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七、违约责任：</w:t>
      </w:r>
    </w:p>
    <w:p w14:paraId="4A8B84A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1.如乙方没有按照合同约定期限履行送货义务，每逾期一天，向甲方支付合同价款2%的违约金，逾期5日，甲方有权解除合同，要求乙方承担由此造成甲方的所有损失，并按合同总额的20%支付违约金。</w:t>
      </w:r>
    </w:p>
    <w:p w14:paraId="142F666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2.如乙方的产品经第三方机构检测不符合国家标准或合同约定质量标准的，甲方有权拒收、换货或退货，所造成的运输、装卸、产品</w:t>
      </w:r>
      <w:bookmarkStart w:id="0" w:name="_GoBack"/>
      <w:bookmarkEnd w:id="0"/>
      <w:r>
        <w:rPr>
          <w:rFonts w:hint="eastAsia" w:ascii="仿宋" w:hAnsi="仿宋" w:eastAsia="仿宋" w:cs="仿宋"/>
          <w:color w:val="000000"/>
          <w:kern w:val="0"/>
          <w:sz w:val="28"/>
          <w:szCs w:val="28"/>
          <w:highlight w:val="none"/>
          <w:shd w:val="clear" w:color="auto" w:fill="FFFFFF"/>
          <w:lang w:val="en-US" w:eastAsia="zh-CN" w:bidi="ar-SA"/>
        </w:rPr>
        <w:t>等损失均由乙方承担，且甲方有权要求乙方支付合同价款20%的违约金。</w:t>
      </w:r>
    </w:p>
    <w:p w14:paraId="2F1C29C2">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3.标的物所有权自交付时转移，但甲方未履行支付价款义务的，标的物属于乙方所有。</w:t>
      </w:r>
    </w:p>
    <w:p w14:paraId="682DB18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14:paraId="5A078E3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14:paraId="5C9545B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6.购买方经营过程中保存不善等非供货方原因造成的质量问题，供货方不承担责任。</w:t>
      </w:r>
    </w:p>
    <w:p w14:paraId="1F1AC9F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14:paraId="5FD0CB1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2" w:firstLineChars="200"/>
        <w:textAlignment w:val="auto"/>
        <w:rPr>
          <w:rFonts w:hint="default"/>
          <w:lang w:val="en-US" w:eastAsia="zh-CN"/>
        </w:rPr>
      </w:pPr>
      <w:r>
        <w:rPr>
          <w:rFonts w:hint="eastAsia" w:ascii="仿宋" w:hAnsi="仿宋" w:eastAsia="仿宋" w:cs="仿宋"/>
          <w:b/>
          <w:bCs/>
          <w:color w:val="000000"/>
          <w:kern w:val="0"/>
          <w:sz w:val="28"/>
          <w:szCs w:val="28"/>
          <w:highlight w:val="none"/>
          <w:shd w:val="clear" w:color="auto" w:fill="FFFFFF"/>
          <w:lang w:val="en-US" w:eastAsia="zh-CN" w:bidi="ar-SA"/>
        </w:rPr>
        <w:t>8.在招投标活动中，法定代表人为同一人的两个及两个以上法人、母公司与其全资子公司、控股公司，以及其他存在资产关联关系的投标人，不得在同一标段内同时参与投标；若经查实存在上述情形，无论是否已中标，均按无效投标处理；招标过程中未能发现并已签订合同的，经查实不符合要求的，合同直接予以解除，甲方有权拒绝支付所有服务费用，并将相关投标人列入甲方供应商黑名单，取消其后续参与甲方所有采购项目的投标资格。</w:t>
      </w:r>
    </w:p>
    <w:p w14:paraId="45734DF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八、合同纠纷处理办法：</w:t>
      </w:r>
    </w:p>
    <w:p w14:paraId="74E5291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双方当事人事先友好协商解决，如协商或调解不成的，甲乙双方同意只能以以下第二种方式解决纠纷：</w:t>
      </w:r>
    </w:p>
    <w:p w14:paraId="68671A9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（1）向连云港市仲裁委申请仲裁；</w:t>
      </w:r>
    </w:p>
    <w:p w14:paraId="79792E9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（2）向甲方公司所在地人民法院提起诉讼。</w:t>
      </w:r>
    </w:p>
    <w:p w14:paraId="21F1DA1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乙方承诺只要发生诉讼，承担包括但不限于诉讼费、律师费、保全费、执行费等一切费用。</w:t>
      </w:r>
    </w:p>
    <w:p w14:paraId="4EBFDAD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九、其他事项：</w:t>
      </w:r>
    </w:p>
    <w:p w14:paraId="1B1A53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w:t>
      </w:r>
      <w:r>
        <w:rPr>
          <w:rFonts w:hint="eastAsia" w:ascii="仿宋" w:hAnsi="仿宋" w:eastAsia="仿宋" w:cs="仿宋"/>
          <w:color w:val="000000"/>
          <w:kern w:val="0"/>
          <w:sz w:val="28"/>
          <w:szCs w:val="28"/>
          <w:highlight w:val="none"/>
          <w:shd w:val="clear" w:color="auto" w:fill="FFFFFF"/>
          <w:lang w:val="zh-CN" w:eastAsia="zh-CN" w:bidi="ar-SA"/>
        </w:rPr>
        <w:t>本合同经甲乙双方加盖公章或合同章后生效；</w:t>
      </w:r>
    </w:p>
    <w:p w14:paraId="0FEC2DC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w:t>
      </w:r>
      <w:r>
        <w:rPr>
          <w:rFonts w:hint="eastAsia" w:ascii="仿宋" w:hAnsi="仿宋" w:eastAsia="仿宋" w:cs="仿宋"/>
          <w:color w:val="000000"/>
          <w:kern w:val="0"/>
          <w:sz w:val="28"/>
          <w:szCs w:val="28"/>
          <w:highlight w:val="none"/>
          <w:shd w:val="clear" w:color="auto" w:fill="FFFFFF"/>
          <w:lang w:val="zh-CN" w:eastAsia="zh-CN" w:bidi="ar-SA"/>
        </w:rPr>
        <w:t>本合同有效期至该笔业务结束止；</w:t>
      </w:r>
    </w:p>
    <w:p w14:paraId="019907E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3.</w:t>
      </w:r>
      <w:r>
        <w:rPr>
          <w:rFonts w:hint="eastAsia" w:ascii="仿宋" w:hAnsi="仿宋" w:eastAsia="仿宋" w:cs="仿宋"/>
          <w:b/>
          <w:bCs/>
          <w:color w:val="000000"/>
          <w:kern w:val="0"/>
          <w:sz w:val="28"/>
          <w:szCs w:val="28"/>
          <w:highlight w:val="none"/>
          <w:shd w:val="clear" w:color="auto" w:fill="FFFFFF"/>
          <w:lang w:val="zh-CN" w:eastAsia="zh-CN" w:bidi="ar-SA"/>
        </w:rPr>
        <w:t>本合同一式叁份，甲方执贰份，乙方执壹份</w:t>
      </w:r>
      <w:r>
        <w:rPr>
          <w:rFonts w:hint="eastAsia" w:ascii="仿宋" w:hAnsi="仿宋" w:eastAsia="仿宋" w:cs="仿宋"/>
          <w:color w:val="000000"/>
          <w:kern w:val="0"/>
          <w:sz w:val="28"/>
          <w:szCs w:val="28"/>
          <w:highlight w:val="none"/>
          <w:shd w:val="clear" w:color="auto" w:fill="FFFFFF"/>
          <w:lang w:val="zh-CN" w:eastAsia="zh-CN" w:bidi="ar-SA"/>
        </w:rPr>
        <w:t>，自签订之日起生效，传真件与原件每份具有同等法律效力。双方所发确认传真均为本合同的有效附件，与本合同具有同等法律效力；</w:t>
      </w:r>
    </w:p>
    <w:p w14:paraId="5BFDC6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4.</w:t>
      </w:r>
      <w:r>
        <w:rPr>
          <w:rFonts w:hint="eastAsia" w:ascii="仿宋" w:hAnsi="仿宋" w:eastAsia="仿宋" w:cs="仿宋"/>
          <w:color w:val="000000"/>
          <w:kern w:val="0"/>
          <w:sz w:val="28"/>
          <w:szCs w:val="28"/>
          <w:highlight w:val="none"/>
          <w:shd w:val="clear" w:color="auto" w:fill="FFFFFF"/>
          <w:lang w:val="zh-CN" w:eastAsia="zh-CN" w:bidi="ar-SA"/>
        </w:rPr>
        <w:t>协议签署地：青口投资公司。</w:t>
      </w:r>
    </w:p>
    <w:p w14:paraId="1B0CCEE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7920523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0B91DF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1FBE737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6BF4EAB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甲方（盖章）：</w:t>
      </w:r>
      <w:r>
        <w:rPr>
          <w:rFonts w:hint="eastAsia" w:ascii="仿宋" w:hAnsi="仿宋" w:eastAsia="仿宋" w:cs="仿宋"/>
          <w:color w:val="000000"/>
          <w:kern w:val="0"/>
          <w:sz w:val="28"/>
          <w:szCs w:val="28"/>
          <w:highlight w:val="none"/>
          <w:shd w:val="clear" w:color="auto" w:fill="FFFFFF"/>
          <w:lang w:val="en-US" w:eastAsia="zh-CN" w:bidi="ar-SA"/>
        </w:rPr>
        <w:t xml:space="preserve">                   乙方（盖</w:t>
      </w:r>
      <w:r>
        <w:rPr>
          <w:rFonts w:hint="eastAsia" w:ascii="仿宋" w:hAnsi="仿宋" w:eastAsia="仿宋" w:cs="仿宋"/>
          <w:color w:val="000000"/>
          <w:kern w:val="0"/>
          <w:sz w:val="28"/>
          <w:szCs w:val="28"/>
          <w:highlight w:val="none"/>
          <w:shd w:val="clear" w:color="auto" w:fill="FFFFFF"/>
          <w:lang w:val="zh-CN" w:eastAsia="zh-CN" w:bidi="ar-SA"/>
        </w:rPr>
        <w:t>章</w:t>
      </w:r>
      <w:r>
        <w:rPr>
          <w:rFonts w:hint="eastAsia" w:ascii="仿宋" w:hAnsi="仿宋" w:eastAsia="仿宋" w:cs="仿宋"/>
          <w:color w:val="000000"/>
          <w:kern w:val="0"/>
          <w:sz w:val="28"/>
          <w:szCs w:val="28"/>
          <w:highlight w:val="none"/>
          <w:shd w:val="clear" w:color="auto" w:fill="FFFFFF"/>
          <w:lang w:val="en-US" w:eastAsia="zh-CN" w:bidi="ar-SA"/>
        </w:rPr>
        <w:t>）</w:t>
      </w:r>
      <w:r>
        <w:rPr>
          <w:rFonts w:hint="eastAsia" w:ascii="仿宋" w:hAnsi="仿宋" w:eastAsia="仿宋" w:cs="仿宋"/>
          <w:color w:val="000000"/>
          <w:kern w:val="0"/>
          <w:sz w:val="28"/>
          <w:szCs w:val="28"/>
          <w:highlight w:val="none"/>
          <w:shd w:val="clear" w:color="auto" w:fill="FFFFFF"/>
          <w:lang w:val="zh-CN" w:eastAsia="zh-CN" w:bidi="ar-SA"/>
        </w:rPr>
        <w:t>：</w:t>
      </w:r>
    </w:p>
    <w:p w14:paraId="23D62EB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3A36563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签字：                           签字：                          </w:t>
      </w:r>
    </w:p>
    <w:p w14:paraId="1680AD7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7D28E91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097B91EA">
      <w:pPr>
        <w:pStyle w:val="5"/>
        <w:rPr>
          <w:rFonts w:hint="eastAsia"/>
          <w:highlight w:val="none"/>
          <w:lang w:val="en-US" w:eastAsia="zh-CN"/>
        </w:rPr>
      </w:pPr>
    </w:p>
    <w:p w14:paraId="06DF5B78">
      <w:pPr>
        <w:tabs>
          <w:tab w:val="left" w:pos="1770"/>
        </w:tabs>
        <w:spacing w:line="500" w:lineRule="exact"/>
        <w:jc w:val="both"/>
        <w:outlineLvl w:val="0"/>
      </w:pPr>
      <w:r>
        <w:rPr>
          <w:rFonts w:hint="eastAsia" w:ascii="仿宋" w:hAnsi="仿宋" w:eastAsia="仿宋" w:cs="仿宋"/>
          <w:color w:val="000000"/>
          <w:kern w:val="0"/>
          <w:sz w:val="28"/>
          <w:szCs w:val="28"/>
          <w:highlight w:val="none"/>
          <w:shd w:val="clear" w:color="auto" w:fill="FFFFFF"/>
          <w:lang w:val="en-US" w:eastAsia="zh-CN" w:bidi="ar-SA"/>
        </w:rPr>
        <w:t xml:space="preserve">                                        年    月    日</w:t>
      </w:r>
    </w:p>
    <w:sectPr>
      <w:headerReference r:id="rId3" w:type="default"/>
      <w:footerReference r:id="rId4" w:type="default"/>
      <w:pgSz w:w="11906" w:h="16838"/>
      <w:pgMar w:top="1134" w:right="1134"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D1BFF">
    <w:pPr>
      <w:pStyle w:val="3"/>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7F21A">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02452D76"/>
    <w:rsid w:val="02452D76"/>
    <w:rsid w:val="0350415B"/>
    <w:rsid w:val="08AB4F45"/>
    <w:rsid w:val="20113A75"/>
    <w:rsid w:val="23A4125B"/>
    <w:rsid w:val="240A145E"/>
    <w:rsid w:val="2A2566F9"/>
    <w:rsid w:val="2ECE6221"/>
    <w:rsid w:val="383D40BB"/>
    <w:rsid w:val="3B9122D7"/>
    <w:rsid w:val="3FC45C9E"/>
    <w:rsid w:val="3FD2122A"/>
    <w:rsid w:val="5A4E68DC"/>
    <w:rsid w:val="5CE73BF8"/>
    <w:rsid w:val="5D252337"/>
    <w:rsid w:val="67227AFE"/>
    <w:rsid w:val="7E275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0"/>
    <w:pPr>
      <w:spacing w:after="120"/>
      <w:ind w:left="420" w:leftChars="200"/>
    </w:pPr>
  </w:style>
  <w:style w:type="paragraph" w:styleId="3">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Body Text First Indent 2"/>
    <w:basedOn w:val="2"/>
    <w:semiHidden/>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1828</Words>
  <Characters>1851</Characters>
  <Lines>0</Lines>
  <Paragraphs>0</Paragraphs>
  <TotalTime>0</TotalTime>
  <ScaleCrop>false</ScaleCrop>
  <LinksUpToDate>false</LinksUpToDate>
  <CharactersWithSpaces>2082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蒋宏</cp:lastModifiedBy>
  <cp:lastPrinted>2023-09-01T02:39:00Z</cp:lastPrinted>
  <dcterms:modified xsi:type="dcterms:W3CDTF">2026-04-14T07:15:51Z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51DB0124324C4F9888E39119D54E5B39_11</vt:lpwstr>
  </property>
  <property fmtid="{D5CDD505-2E9C-101B-9397-08002B2CF9AE}" pid="4" name="KSOTemplateDocerSaveRecord">
    <vt:lpwstr>eyJoZGlkIjoiOWJlMWQ1MGJlNDBkYWVhZDMyYzQ4YTQwNjkzMzM3OGQiLCJ1c2VySWQiOiIxNzE3NzgyNTUzIn0=</vt:lpwstr>
  </property>
</Properties>
</file>